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781" w:rsidRDefault="00DE6781" w:rsidP="00DE6781">
      <w:pPr>
        <w:tabs>
          <w:tab w:val="clear" w:pos="567"/>
        </w:tabs>
        <w:spacing w:line="240" w:lineRule="auto"/>
        <w:rPr>
          <w:szCs w:val="22"/>
          <w:lang w:val="lt-LT"/>
        </w:rPr>
      </w:pPr>
      <w:bookmarkStart w:id="0" w:name="_GoBack"/>
      <w:bookmarkEnd w:id="0"/>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tabs>
          <w:tab w:val="clear" w:pos="567"/>
          <w:tab w:val="left" w:pos="-1440"/>
          <w:tab w:val="left" w:pos="-720"/>
        </w:tabs>
        <w:spacing w:line="240" w:lineRule="auto"/>
        <w:rPr>
          <w:szCs w:val="22"/>
          <w:lang w:val="lt-LT"/>
        </w:rPr>
      </w:pPr>
    </w:p>
    <w:p w:rsidR="00DE6781" w:rsidRDefault="00DE6781" w:rsidP="00DE6781">
      <w:pPr>
        <w:tabs>
          <w:tab w:val="clear" w:pos="567"/>
          <w:tab w:val="left" w:pos="-1440"/>
          <w:tab w:val="left" w:pos="-720"/>
        </w:tabs>
        <w:spacing w:line="240" w:lineRule="auto"/>
        <w:rPr>
          <w:szCs w:val="22"/>
          <w:lang w:val="lt-LT"/>
        </w:rPr>
      </w:pPr>
    </w:p>
    <w:p w:rsidR="00DE6781" w:rsidRDefault="00DE6781" w:rsidP="00DE6781">
      <w:pPr>
        <w:spacing w:line="240" w:lineRule="auto"/>
        <w:ind w:left="567" w:hanging="567"/>
        <w:jc w:val="center"/>
        <w:rPr>
          <w:szCs w:val="22"/>
          <w:lang w:val="lt-LT"/>
        </w:rPr>
      </w:pPr>
      <w:r>
        <w:rPr>
          <w:b/>
          <w:szCs w:val="22"/>
          <w:lang w:val="lt-LT"/>
        </w:rPr>
        <w:t>I PRIEDAS</w:t>
      </w:r>
    </w:p>
    <w:p w:rsidR="00DE6781" w:rsidRDefault="00DE6781" w:rsidP="00DE6781">
      <w:pPr>
        <w:spacing w:line="240" w:lineRule="auto"/>
        <w:ind w:left="567" w:hanging="567"/>
        <w:jc w:val="center"/>
        <w:rPr>
          <w:szCs w:val="22"/>
          <w:lang w:val="lt-LT"/>
        </w:rPr>
      </w:pPr>
    </w:p>
    <w:p w:rsidR="00DE6781" w:rsidRDefault="00DE6781" w:rsidP="00DE6781">
      <w:pPr>
        <w:spacing w:line="240" w:lineRule="auto"/>
        <w:ind w:left="567" w:hanging="567"/>
        <w:jc w:val="center"/>
        <w:rPr>
          <w:b/>
          <w:szCs w:val="22"/>
          <w:lang w:val="lt-LT"/>
        </w:rPr>
      </w:pPr>
      <w:r>
        <w:rPr>
          <w:b/>
          <w:szCs w:val="22"/>
          <w:lang w:val="lt-LT"/>
        </w:rPr>
        <w:t>PREPARATO CHARAKTERISTIKŲ SANTRAUKA</w:t>
      </w:r>
    </w:p>
    <w:p w:rsidR="00DE6781" w:rsidRDefault="00DE6781" w:rsidP="00DE6781">
      <w:pPr>
        <w:keepNext/>
        <w:widowControl w:val="0"/>
        <w:tabs>
          <w:tab w:val="clear" w:pos="567"/>
        </w:tabs>
        <w:spacing w:line="240" w:lineRule="auto"/>
        <w:rPr>
          <w:szCs w:val="22"/>
          <w:lang w:val="lt-LT"/>
        </w:rPr>
      </w:pPr>
      <w:r>
        <w:rPr>
          <w:bCs/>
          <w:iCs/>
          <w:szCs w:val="22"/>
          <w:lang w:val="lt-LT"/>
        </w:rPr>
        <w:br w:type="page"/>
      </w:r>
      <w:r>
        <w:rPr>
          <w:b/>
          <w:szCs w:val="22"/>
          <w:lang w:val="lt-LT"/>
        </w:rPr>
        <w:lastRenderedPageBreak/>
        <w:t>1.</w:t>
      </w:r>
      <w:r>
        <w:rPr>
          <w:b/>
          <w:szCs w:val="22"/>
          <w:lang w:val="lt-LT"/>
        </w:rPr>
        <w:tab/>
      </w:r>
      <w:r>
        <w:rPr>
          <w:b/>
          <w:caps/>
          <w:szCs w:val="22"/>
          <w:lang w:val="lt-LT"/>
        </w:rPr>
        <w:t>VAISTINIO</w:t>
      </w:r>
      <w:r>
        <w:rPr>
          <w:b/>
          <w:szCs w:val="22"/>
          <w:lang w:val="lt-LT"/>
        </w:rPr>
        <w:t xml:space="preserve"> PREPARATO PAVADINIMAS</w:t>
      </w:r>
    </w:p>
    <w:p w:rsidR="00DE6781" w:rsidRDefault="00DE6781" w:rsidP="00DE6781">
      <w:pPr>
        <w:keepNext/>
        <w:widowControl w:val="0"/>
        <w:tabs>
          <w:tab w:val="clear" w:pos="567"/>
        </w:tabs>
        <w:spacing w:line="240" w:lineRule="auto"/>
        <w:rPr>
          <w:iCs/>
          <w:szCs w:val="22"/>
          <w:lang w:val="lt-LT"/>
        </w:rPr>
      </w:pPr>
    </w:p>
    <w:p w:rsidR="00DE6781" w:rsidRDefault="00DE6781" w:rsidP="00DE6781">
      <w:pPr>
        <w:spacing w:line="240" w:lineRule="auto"/>
        <w:rPr>
          <w:szCs w:val="22"/>
          <w:lang w:val="lt-LT"/>
        </w:rPr>
      </w:pPr>
      <w:r>
        <w:rPr>
          <w:szCs w:val="22"/>
          <w:lang w:val="lt-LT"/>
        </w:rPr>
        <w:t>TOBI Podhaler 28 mg inhaliaciniai milteliai, kietos kapsulės</w:t>
      </w:r>
    </w:p>
    <w:p w:rsidR="00DE6781" w:rsidRDefault="00DE6781" w:rsidP="00DE6781">
      <w:pPr>
        <w:autoSpaceDE w:val="0"/>
        <w:autoSpaceDN w:val="0"/>
        <w:adjustRightInd w:val="0"/>
        <w:spacing w:line="240" w:lineRule="auto"/>
        <w:rPr>
          <w:szCs w:val="22"/>
          <w:lang w:val="lt-LT"/>
        </w:rPr>
      </w:pPr>
    </w:p>
    <w:p w:rsidR="00DE6781" w:rsidRDefault="00DE6781" w:rsidP="00DE6781">
      <w:pPr>
        <w:widowControl w:val="0"/>
        <w:tabs>
          <w:tab w:val="clear" w:pos="567"/>
        </w:tabs>
        <w:spacing w:line="240" w:lineRule="auto"/>
        <w:rPr>
          <w:bCs/>
          <w:szCs w:val="22"/>
          <w:lang w:val="lt-LT"/>
        </w:rPr>
      </w:pPr>
    </w:p>
    <w:p w:rsidR="00DE6781" w:rsidRDefault="00DE6781" w:rsidP="00DE6781">
      <w:pPr>
        <w:keepNext/>
        <w:widowControl w:val="0"/>
        <w:tabs>
          <w:tab w:val="clear" w:pos="567"/>
        </w:tabs>
        <w:spacing w:line="240" w:lineRule="auto"/>
        <w:rPr>
          <w:szCs w:val="22"/>
          <w:lang w:val="lt-LT"/>
        </w:rPr>
      </w:pPr>
      <w:r>
        <w:rPr>
          <w:b/>
          <w:szCs w:val="22"/>
          <w:lang w:val="lt-LT"/>
        </w:rPr>
        <w:t>2.</w:t>
      </w:r>
      <w:r>
        <w:rPr>
          <w:b/>
          <w:szCs w:val="22"/>
          <w:lang w:val="lt-LT"/>
        </w:rPr>
        <w:tab/>
      </w:r>
      <w:r>
        <w:rPr>
          <w:b/>
          <w:caps/>
          <w:szCs w:val="22"/>
          <w:lang w:val="lt-LT"/>
        </w:rPr>
        <w:t>kokybinė ir kiekybinė sudėtis</w:t>
      </w:r>
    </w:p>
    <w:p w:rsidR="00DE6781" w:rsidRDefault="00DE6781" w:rsidP="00DE6781">
      <w:pPr>
        <w:keepNext/>
        <w:widowControl w:val="0"/>
        <w:tabs>
          <w:tab w:val="clear" w:pos="567"/>
        </w:tabs>
        <w:spacing w:line="240" w:lineRule="auto"/>
        <w:rPr>
          <w:bCs/>
          <w:szCs w:val="22"/>
          <w:lang w:val="lt-LT"/>
        </w:rPr>
      </w:pPr>
    </w:p>
    <w:p w:rsidR="00DE6781" w:rsidRDefault="00DE6781" w:rsidP="00DE6781">
      <w:pPr>
        <w:pStyle w:val="EMEAEnBodyText"/>
        <w:autoSpaceDE w:val="0"/>
        <w:autoSpaceDN w:val="0"/>
        <w:adjustRightInd w:val="0"/>
        <w:spacing w:before="0" w:after="0"/>
        <w:jc w:val="left"/>
        <w:rPr>
          <w:szCs w:val="22"/>
          <w:lang w:val="lt-LT"/>
        </w:rPr>
      </w:pPr>
      <w:r>
        <w:rPr>
          <w:szCs w:val="22"/>
          <w:lang w:val="lt-LT"/>
        </w:rPr>
        <w:t xml:space="preserve">Kiekvienoje kietoje kapsulėje yra 28 mg </w:t>
      </w:r>
      <w:bookmarkStart w:id="1" w:name="OLE_LINK1"/>
      <w:bookmarkStart w:id="2" w:name="OLE_LINK2"/>
      <w:r>
        <w:rPr>
          <w:szCs w:val="22"/>
          <w:lang w:val="lt-LT"/>
        </w:rPr>
        <w:t>tobramicin</w:t>
      </w:r>
      <w:bookmarkEnd w:id="1"/>
      <w:bookmarkEnd w:id="2"/>
      <w:r>
        <w:rPr>
          <w:szCs w:val="22"/>
          <w:lang w:val="lt-LT"/>
        </w:rPr>
        <w:t>o.</w:t>
      </w:r>
    </w:p>
    <w:p w:rsidR="00DE6781" w:rsidRDefault="00DE6781" w:rsidP="00DE6781">
      <w:pPr>
        <w:pStyle w:val="EMEAEnBodyText"/>
        <w:autoSpaceDE w:val="0"/>
        <w:autoSpaceDN w:val="0"/>
        <w:adjustRightInd w:val="0"/>
        <w:spacing w:before="0" w:after="0"/>
        <w:jc w:val="left"/>
        <w:rPr>
          <w:szCs w:val="22"/>
          <w:lang w:val="lt-LT"/>
        </w:rPr>
      </w:pPr>
    </w:p>
    <w:p w:rsidR="00DE6781" w:rsidRDefault="00DE6781" w:rsidP="00DE6781">
      <w:pPr>
        <w:pStyle w:val="EMEAEnBodyText"/>
        <w:autoSpaceDE w:val="0"/>
        <w:autoSpaceDN w:val="0"/>
        <w:adjustRightInd w:val="0"/>
        <w:spacing w:before="0" w:after="0"/>
        <w:jc w:val="left"/>
        <w:rPr>
          <w:szCs w:val="22"/>
          <w:lang w:val="lt-LT"/>
        </w:rPr>
      </w:pPr>
      <w:r>
        <w:rPr>
          <w:szCs w:val="22"/>
          <w:lang w:val="lt-LT"/>
        </w:rPr>
        <w:t>Visos pagalbinės medžiagos išvardytos 6.1 skyriuje.</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caps/>
          <w:szCs w:val="22"/>
          <w:lang w:val="lt-LT"/>
        </w:rPr>
      </w:pPr>
      <w:r>
        <w:rPr>
          <w:b/>
          <w:szCs w:val="22"/>
          <w:lang w:val="lt-LT"/>
        </w:rPr>
        <w:t>3.</w:t>
      </w:r>
      <w:r>
        <w:rPr>
          <w:b/>
          <w:szCs w:val="22"/>
          <w:lang w:val="lt-LT"/>
        </w:rPr>
        <w:tab/>
      </w:r>
      <w:r>
        <w:rPr>
          <w:b/>
          <w:caps/>
          <w:szCs w:val="22"/>
          <w:lang w:val="lt-LT"/>
        </w:rPr>
        <w:t>FARMACINĖ forma</w:t>
      </w:r>
    </w:p>
    <w:p w:rsidR="00DE6781" w:rsidRDefault="00DE6781" w:rsidP="00DE6781">
      <w:pPr>
        <w:keepNext/>
        <w:widowControl w:val="0"/>
        <w:spacing w:line="240" w:lineRule="auto"/>
        <w:rPr>
          <w:szCs w:val="22"/>
          <w:lang w:val="lt-LT"/>
        </w:rPr>
      </w:pPr>
    </w:p>
    <w:p w:rsidR="00DE6781" w:rsidRDefault="00DE6781" w:rsidP="00DE6781">
      <w:pPr>
        <w:spacing w:line="240" w:lineRule="auto"/>
        <w:rPr>
          <w:szCs w:val="22"/>
          <w:lang w:val="lt-LT"/>
        </w:rPr>
      </w:pPr>
      <w:r>
        <w:rPr>
          <w:szCs w:val="22"/>
          <w:lang w:val="lt-LT"/>
        </w:rPr>
        <w:t>Inhaliaciniai milteliai, kieta kapsulė</w:t>
      </w:r>
    </w:p>
    <w:p w:rsidR="00DE6781" w:rsidRDefault="00DE6781" w:rsidP="00DE6781">
      <w:pPr>
        <w:spacing w:line="240" w:lineRule="auto"/>
        <w:rPr>
          <w:szCs w:val="22"/>
          <w:lang w:val="lt-LT" w:bidi="th-TH"/>
        </w:rPr>
      </w:pPr>
    </w:p>
    <w:p w:rsidR="00DE6781" w:rsidRDefault="00DE6781" w:rsidP="00DE6781">
      <w:pPr>
        <w:spacing w:line="240" w:lineRule="auto"/>
        <w:rPr>
          <w:szCs w:val="22"/>
          <w:lang w:val="lt-LT" w:bidi="th-TH"/>
        </w:rPr>
      </w:pPr>
      <w:r>
        <w:rPr>
          <w:szCs w:val="22"/>
          <w:lang w:val="lt-LT" w:bidi="th-TH"/>
        </w:rPr>
        <w:t>Skaidri bespalvė kapsulė, kurioje yra balti arba beveik balti milteliai; ant vienos kapsulės pusės mėlynai atspausdinta „NVR AVCI“, o ant kitos pusės mėlynai atspausdintas Novartis logotipas.</w:t>
      </w:r>
    </w:p>
    <w:p w:rsidR="00DE6781" w:rsidRDefault="00DE6781" w:rsidP="00DE6781">
      <w:pPr>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caps/>
          <w:szCs w:val="22"/>
          <w:lang w:val="lt-LT"/>
        </w:rPr>
      </w:pPr>
      <w:r>
        <w:rPr>
          <w:b/>
          <w:caps/>
          <w:szCs w:val="22"/>
          <w:lang w:val="lt-LT"/>
        </w:rPr>
        <w:t>4.</w:t>
      </w:r>
      <w:r>
        <w:rPr>
          <w:b/>
          <w:caps/>
          <w:szCs w:val="22"/>
          <w:lang w:val="lt-LT"/>
        </w:rPr>
        <w:tab/>
        <w:t>klinikinĖ informacija</w:t>
      </w:r>
    </w:p>
    <w:p w:rsidR="00DE6781" w:rsidRDefault="00DE6781" w:rsidP="00DE6781">
      <w:pPr>
        <w:keepNext/>
        <w:widowControl w:val="0"/>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t>4.1</w:t>
      </w:r>
      <w:r>
        <w:rPr>
          <w:b/>
          <w:szCs w:val="22"/>
          <w:lang w:val="lt-LT"/>
        </w:rPr>
        <w:tab/>
        <w:t>Terapinės indikacijos</w:t>
      </w:r>
    </w:p>
    <w:p w:rsidR="00DE6781" w:rsidRDefault="00DE6781" w:rsidP="00DE6781">
      <w:pPr>
        <w:keepNext/>
        <w:widowControl w:val="0"/>
        <w:tabs>
          <w:tab w:val="clear" w:pos="567"/>
        </w:tabs>
        <w:spacing w:line="240" w:lineRule="auto"/>
        <w:rPr>
          <w:szCs w:val="22"/>
          <w:lang w:val="lt-LT"/>
        </w:rPr>
      </w:pPr>
    </w:p>
    <w:p w:rsidR="00DE6781" w:rsidRDefault="00DE6781" w:rsidP="00DE6781">
      <w:pPr>
        <w:spacing w:line="240" w:lineRule="auto"/>
        <w:rPr>
          <w:szCs w:val="22"/>
          <w:lang w:val="lt-LT"/>
        </w:rPr>
      </w:pPr>
      <w:r>
        <w:rPr>
          <w:szCs w:val="22"/>
          <w:lang w:val="lt-LT"/>
        </w:rPr>
        <w:t xml:space="preserve">TOBI Podhaler skiriamas </w:t>
      </w:r>
      <w:r>
        <w:rPr>
          <w:i/>
          <w:szCs w:val="22"/>
          <w:lang w:val="lt-LT"/>
        </w:rPr>
        <w:t>Pseudomonas aeruginosa</w:t>
      </w:r>
      <w:r>
        <w:rPr>
          <w:szCs w:val="22"/>
          <w:lang w:val="lt-LT"/>
        </w:rPr>
        <w:t xml:space="preserve"> sukeltos lėtinės plaučių infekcijos slopinimui suaugusiesiems ir 6 metų amžiaus bei vyresniems vaikams, sergantiems cistine fibroze.</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Informacija apie vaistinio preparato duomenis skirtingoms pacientų amžiaus grupėms nurodyta 4.4 ir 5.1 skyriuose.</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Reikia atsižvelgti į oficialias tinkamo antibakterinių preparatų vartojimo rekomendacijas.</w:t>
      </w:r>
    </w:p>
    <w:p w:rsidR="00DE6781" w:rsidRDefault="00DE6781" w:rsidP="00DE6781">
      <w:pPr>
        <w:tabs>
          <w:tab w:val="clear" w:pos="567"/>
        </w:tabs>
        <w:spacing w:line="240" w:lineRule="auto"/>
        <w:rPr>
          <w:szCs w:val="22"/>
          <w:lang w:val="lt-LT"/>
        </w:rPr>
      </w:pPr>
    </w:p>
    <w:p w:rsidR="00DE6781" w:rsidRDefault="00DE6781" w:rsidP="00DE6781">
      <w:pPr>
        <w:keepNext/>
        <w:widowControl w:val="0"/>
        <w:numPr>
          <w:ilvl w:val="1"/>
          <w:numId w:val="1"/>
        </w:numPr>
        <w:spacing w:line="240" w:lineRule="auto"/>
        <w:outlineLvl w:val="0"/>
        <w:rPr>
          <w:b/>
          <w:szCs w:val="22"/>
          <w:lang w:val="lt-LT"/>
        </w:rPr>
      </w:pPr>
      <w:r>
        <w:rPr>
          <w:b/>
          <w:szCs w:val="22"/>
          <w:lang w:val="lt-LT"/>
        </w:rPr>
        <w:t>Dozavimas ir vartojimo metodas</w:t>
      </w:r>
    </w:p>
    <w:p w:rsidR="00DE6781" w:rsidRDefault="00DE6781" w:rsidP="00DE6781">
      <w:pPr>
        <w:keepNext/>
        <w:widowControl w:val="0"/>
        <w:tabs>
          <w:tab w:val="clear" w:pos="567"/>
        </w:tabs>
        <w:spacing w:line="240" w:lineRule="auto"/>
        <w:rPr>
          <w:szCs w:val="22"/>
          <w:lang w:val="lt-LT"/>
        </w:rPr>
      </w:pPr>
    </w:p>
    <w:p w:rsidR="00DE6781" w:rsidRDefault="00DE6781" w:rsidP="00DE6781">
      <w:pPr>
        <w:keepNext/>
        <w:widowControl w:val="0"/>
        <w:tabs>
          <w:tab w:val="clear" w:pos="567"/>
        </w:tabs>
        <w:spacing w:line="240" w:lineRule="auto"/>
        <w:rPr>
          <w:szCs w:val="22"/>
          <w:u w:val="single"/>
          <w:lang w:val="lt-LT"/>
        </w:rPr>
      </w:pPr>
      <w:r>
        <w:rPr>
          <w:szCs w:val="22"/>
          <w:u w:val="single"/>
          <w:lang w:val="lt-LT"/>
        </w:rPr>
        <w:t>Dozavimas</w:t>
      </w:r>
    </w:p>
    <w:p w:rsidR="00DE6781" w:rsidRDefault="00DE6781" w:rsidP="00DE6781">
      <w:pPr>
        <w:spacing w:line="240" w:lineRule="auto"/>
        <w:rPr>
          <w:szCs w:val="22"/>
          <w:lang w:val="lt-LT"/>
        </w:rPr>
      </w:pPr>
      <w:r>
        <w:rPr>
          <w:szCs w:val="22"/>
          <w:lang w:val="lt-LT"/>
        </w:rPr>
        <w:t>TOBI Podhaler dozė yra tokia pati visoms patvirtintoms pacientų amžiaus grupėms, neatsižvelgiant į jų amžių ar kūno svorį. Rekomenduojama dozė yra po 112 mg tobramicino (po keturias 28 mg kapsules), vartojama du kartus per parą 28 dienas. TOBI Podhaler vartojamas ciklais, kai 28 dienas skiriamas gydymas ir vėliau 28 dienas vaisto nevartojama. Dvi dozes per parą (kiekvieną po 4 kapsules) reikia inhaliuoti kaip galima tiksliau kas 12 valandų, tačiau mažesnės kaip 6 valandų pertraukos daryti negalima.</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Jei pacientas pamiršo pavartoti dozę likus bent 6 valandoms iki kitos dozės vartojimo, pamirštą dozę reikia inhaliuoti kaip galima greičiau. Kitu atveju pacientui reikia palaukti iki kitos dozės vartojimo; negalima inhaliuoti daugiau kapsulių norint kompensuoti praleistą dozę.</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Gydymą TOBI Podhaler reikia tęsti ciklais tiek laiko, kiek gydytojas mano, jog gydymas TOBI Podhaler pacientui yra kliniškai naudingas, atsižvelgiant į tai, kad ilgalaikio TOBI Podhaler vartojimo saugumo duomenų nėra. Jeigu nustatomas klinikinis plaučių būklės pablogėjimas, reikėtų apsvarstyti papildomo ar kito vaisto nuo pseudomonų sukeltos infekcijos paskyrimo galimybę. Informacijos apie klinikinę naudą ir toleravimą taip pat žr. 4.4, 4.8 ir 5.1 skyriuose.</w:t>
      </w:r>
    </w:p>
    <w:p w:rsidR="00DE6781" w:rsidRDefault="00DE6781" w:rsidP="00DE6781">
      <w:pPr>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lastRenderedPageBreak/>
        <w:t>Ypatingų grupių pacientams</w:t>
      </w:r>
    </w:p>
    <w:p w:rsidR="00DE6781" w:rsidRDefault="00DE6781" w:rsidP="00DE6781">
      <w:pPr>
        <w:keepNext/>
        <w:spacing w:line="240" w:lineRule="auto"/>
        <w:rPr>
          <w:szCs w:val="22"/>
          <w:lang w:val="lt-LT"/>
        </w:rPr>
      </w:pPr>
      <w:r>
        <w:rPr>
          <w:i/>
          <w:szCs w:val="22"/>
          <w:lang w:val="lt-LT"/>
        </w:rPr>
        <w:t>Senyviems pacientams (65 metų ir vyresniems)</w:t>
      </w:r>
    </w:p>
    <w:p w:rsidR="00DE6781" w:rsidRDefault="00DE6781" w:rsidP="00DE6781">
      <w:pPr>
        <w:spacing w:line="240" w:lineRule="auto"/>
        <w:rPr>
          <w:szCs w:val="22"/>
          <w:lang w:val="lt-LT"/>
        </w:rPr>
      </w:pPr>
      <w:r>
        <w:rPr>
          <w:szCs w:val="22"/>
          <w:lang w:val="lt-LT"/>
        </w:rPr>
        <w:t>Duomenų yra nepakankamai, kad šiems pacientams būtų galima rekomenduoti koreguoti vaisto dozę arba jos nekeisti.</w:t>
      </w:r>
    </w:p>
    <w:p w:rsidR="00DE6781" w:rsidRDefault="00DE6781" w:rsidP="00DE6781">
      <w:pPr>
        <w:spacing w:line="240" w:lineRule="auto"/>
        <w:rPr>
          <w:szCs w:val="22"/>
          <w:lang w:val="lt-LT"/>
        </w:rPr>
      </w:pPr>
    </w:p>
    <w:p w:rsidR="00DE6781" w:rsidRDefault="00DE6781" w:rsidP="00DE6781">
      <w:pPr>
        <w:keepNext/>
        <w:spacing w:line="240" w:lineRule="auto"/>
        <w:rPr>
          <w:i/>
          <w:szCs w:val="22"/>
          <w:lang w:val="lt-LT"/>
        </w:rPr>
      </w:pPr>
      <w:r>
        <w:rPr>
          <w:i/>
          <w:szCs w:val="22"/>
          <w:lang w:val="lt-LT"/>
        </w:rPr>
        <w:t>Pacientams, kuriems yra inkstų sutrikimas</w:t>
      </w:r>
    </w:p>
    <w:p w:rsidR="00DE6781" w:rsidRDefault="00DE6781" w:rsidP="00DE6781">
      <w:pPr>
        <w:spacing w:line="240" w:lineRule="auto"/>
        <w:rPr>
          <w:szCs w:val="22"/>
          <w:lang w:val="lt-LT"/>
        </w:rPr>
      </w:pPr>
      <w:r>
        <w:rPr>
          <w:szCs w:val="22"/>
          <w:lang w:val="lt-LT"/>
        </w:rPr>
        <w:t>Tobramicino daugiausia šalinama su šlapimu nepakitusio vaisto pavidalu, todėl tikėtina, kad inkstų funkcijos pokyčiai turi įtakos tobramicino ekspozicijai.</w:t>
      </w:r>
      <w:r>
        <w:rPr>
          <w:rFonts w:eastAsia="SimSun"/>
          <w:szCs w:val="22"/>
          <w:lang w:val="lt-LT" w:eastAsia="zh-CN"/>
        </w:rPr>
        <w:t xml:space="preserve"> Pacientai, kurių kreatinino koncentracija serume yra 2 mg/dl ar didesnė, o šlapalo azoto kiekis kraujyje yra 40 mg/dl</w:t>
      </w:r>
      <w:r>
        <w:rPr>
          <w:szCs w:val="22"/>
          <w:lang w:val="lt-LT"/>
        </w:rPr>
        <w:t xml:space="preserve"> ar didesnis, nebuvo įtraukiami į klinikinius tyrimus, todėl apie vaisto poveikį šiems pacientams nėra sukaupta duomenų, kad būtų galima jiems rekomenduoti koreguoti TOBI Podhaler dozę arba jos nekeisti. TOBI Podhaler reikia atsargiai skirti pacientams, kuriems yra nustatytas ar įtariamas inkstų funkcijos sutrikimas.</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Taip pat prašytume perskaityti informaciją apie toksinį poveikį inkstams 4.4 skyriuje.</w:t>
      </w:r>
    </w:p>
    <w:p w:rsidR="00DE6781" w:rsidRDefault="00DE6781" w:rsidP="00DE6781">
      <w:pPr>
        <w:spacing w:line="240" w:lineRule="auto"/>
        <w:rPr>
          <w:szCs w:val="22"/>
          <w:lang w:val="lt-LT"/>
        </w:rPr>
      </w:pPr>
    </w:p>
    <w:p w:rsidR="00DE6781" w:rsidRDefault="00DE6781" w:rsidP="00DE6781">
      <w:pPr>
        <w:keepNext/>
        <w:spacing w:line="240" w:lineRule="auto"/>
        <w:rPr>
          <w:i/>
          <w:szCs w:val="22"/>
          <w:lang w:val="lt-LT"/>
        </w:rPr>
      </w:pPr>
      <w:r>
        <w:rPr>
          <w:i/>
          <w:szCs w:val="22"/>
          <w:lang w:val="lt-LT"/>
        </w:rPr>
        <w:t>Pacientams, kuriems yra kepenų sutrikimas</w:t>
      </w:r>
    </w:p>
    <w:p w:rsidR="00DE6781" w:rsidRDefault="00DE6781" w:rsidP="00DE6781">
      <w:pPr>
        <w:spacing w:line="240" w:lineRule="auto"/>
        <w:rPr>
          <w:szCs w:val="22"/>
          <w:lang w:val="lt-LT"/>
        </w:rPr>
      </w:pPr>
      <w:r>
        <w:rPr>
          <w:szCs w:val="22"/>
          <w:lang w:val="lt-LT"/>
        </w:rPr>
        <w:t>Vaisto poveikis pacientams, kuriems yra kepenų sutrikimas, netirtas. Kadangi tobramicinas organizme nemetabolizuojamas, nesitikima, kad kepenų funkcijos sutrikimas turėtų įtakos tobramicino ekspozicijai.</w:t>
      </w:r>
    </w:p>
    <w:p w:rsidR="00DE6781" w:rsidRDefault="00DE6781" w:rsidP="00DE6781">
      <w:pPr>
        <w:spacing w:line="240" w:lineRule="auto"/>
        <w:rPr>
          <w:szCs w:val="22"/>
          <w:lang w:val="lt-LT"/>
        </w:rPr>
      </w:pPr>
    </w:p>
    <w:p w:rsidR="00DE6781" w:rsidRDefault="00DE6781" w:rsidP="00DE6781">
      <w:pPr>
        <w:keepNext/>
        <w:spacing w:line="240" w:lineRule="auto"/>
        <w:rPr>
          <w:i/>
          <w:szCs w:val="22"/>
          <w:lang w:val="lt-LT"/>
        </w:rPr>
      </w:pPr>
      <w:r>
        <w:rPr>
          <w:i/>
          <w:szCs w:val="22"/>
          <w:lang w:val="lt-LT"/>
        </w:rPr>
        <w:t>Pacientams, kuriems atlikta organo transplantacija</w:t>
      </w:r>
    </w:p>
    <w:p w:rsidR="00DE6781" w:rsidRDefault="00DE6781" w:rsidP="00DE6781">
      <w:pPr>
        <w:spacing w:line="240" w:lineRule="auto"/>
        <w:rPr>
          <w:szCs w:val="22"/>
          <w:lang w:val="lt-LT"/>
        </w:rPr>
      </w:pPr>
      <w:r>
        <w:rPr>
          <w:szCs w:val="22"/>
          <w:lang w:val="lt-LT"/>
        </w:rPr>
        <w:t>Tinkamų duomenų apie TOBI Podhaler vartojimą pacientams, kuriems atlikta organo transplantacija, nėra. Todėl šiems pacientams dozavimo rekomendacijų apie tai, ar koreguoti vaisto dozę arba jos nekeisti, pateikti negalima.</w:t>
      </w:r>
    </w:p>
    <w:p w:rsidR="00DE6781" w:rsidRDefault="00DE6781" w:rsidP="00DE6781">
      <w:pPr>
        <w:spacing w:line="240" w:lineRule="auto"/>
        <w:rPr>
          <w:szCs w:val="22"/>
          <w:u w:val="single"/>
          <w:lang w:val="lt-LT"/>
        </w:rPr>
      </w:pPr>
    </w:p>
    <w:p w:rsidR="00DE6781" w:rsidRDefault="00DE6781" w:rsidP="00DE6781">
      <w:pPr>
        <w:keepNext/>
        <w:spacing w:line="240" w:lineRule="auto"/>
        <w:rPr>
          <w:szCs w:val="22"/>
          <w:u w:val="single"/>
          <w:lang w:val="lt-LT"/>
        </w:rPr>
      </w:pPr>
      <w:r>
        <w:rPr>
          <w:szCs w:val="22"/>
          <w:u w:val="single"/>
          <w:lang w:val="lt-LT"/>
        </w:rPr>
        <w:t>Jaunesniems kaip 6 metų vaikams</w:t>
      </w:r>
    </w:p>
    <w:p w:rsidR="00DE6781" w:rsidRDefault="00DE6781" w:rsidP="00DE6781">
      <w:pPr>
        <w:spacing w:line="240" w:lineRule="auto"/>
        <w:rPr>
          <w:szCs w:val="22"/>
          <w:lang w:val="lt-LT"/>
        </w:rPr>
      </w:pPr>
      <w:r>
        <w:rPr>
          <w:szCs w:val="22"/>
          <w:lang w:val="lt-LT"/>
        </w:rPr>
        <w:t>TOBI Podhaler saugumas ir veiksmingumas vaikams jaunesniems kaip 6 metų amžiaus nebuvo nustatytas. Duomenų nėra.</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rPr>
          <w:szCs w:val="22"/>
          <w:u w:val="single"/>
          <w:lang w:val="lt-LT"/>
        </w:rPr>
      </w:pPr>
      <w:r>
        <w:rPr>
          <w:szCs w:val="22"/>
          <w:u w:val="single"/>
          <w:lang w:val="lt-LT"/>
        </w:rPr>
        <w:t>Vartojimo metodas</w:t>
      </w:r>
    </w:p>
    <w:p w:rsidR="00DE6781" w:rsidRDefault="00DE6781" w:rsidP="00DE6781">
      <w:pPr>
        <w:spacing w:line="240" w:lineRule="auto"/>
        <w:rPr>
          <w:szCs w:val="22"/>
          <w:lang w:val="lt-LT"/>
        </w:rPr>
      </w:pPr>
      <w:r>
        <w:rPr>
          <w:szCs w:val="22"/>
          <w:lang w:val="lt-LT"/>
        </w:rPr>
        <w:t>TOBI Podhaler skiriamas inhaliuoti per burną, naudojant Podhaler prietaisą (išsamūs vartojimo nurodymai pateikti 6.6 skyriuje). Vaisto negalima vartoti kitais būdais ir naudojantis bet kuriais kitais inhaliatoriais.</w:t>
      </w:r>
    </w:p>
    <w:p w:rsidR="00DE6781" w:rsidRDefault="00DE6781" w:rsidP="00DE6781">
      <w:pPr>
        <w:spacing w:line="240" w:lineRule="auto"/>
        <w:rPr>
          <w:szCs w:val="22"/>
          <w:lang w:val="lt-LT"/>
        </w:rPr>
      </w:pPr>
    </w:p>
    <w:p w:rsidR="00DE6781" w:rsidRDefault="00DE6781" w:rsidP="00DE6781">
      <w:pPr>
        <w:tabs>
          <w:tab w:val="clear" w:pos="567"/>
        </w:tabs>
        <w:autoSpaceDE w:val="0"/>
        <w:autoSpaceDN w:val="0"/>
        <w:adjustRightInd w:val="0"/>
        <w:spacing w:line="240" w:lineRule="auto"/>
        <w:rPr>
          <w:rFonts w:eastAsia="Calibri"/>
          <w:color w:val="000000"/>
          <w:szCs w:val="22"/>
          <w:lang w:val="lt-LT"/>
        </w:rPr>
      </w:pPr>
      <w:r>
        <w:rPr>
          <w:rFonts w:eastAsia="Calibri"/>
          <w:color w:val="000000"/>
          <w:szCs w:val="22"/>
          <w:lang w:val="lt-LT"/>
        </w:rPr>
        <w:t>Globėjai turi padėti vaikams, ypatingai 10 metų ir jaunesniems, pradedant  vartoti TOBI Podhaler bei toliau juos prižiūrėti tol, kol jie galės savarankiškai tinkamai naudoti Podhaler prietaisą.</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TOBI Podhaler kapsulių nuryti negalima. Kiekvieną TOBI Podhaler kapsulę reikia inhaliuoti du kartus giliai įkvėpus ir sulaikius kvėpavimą, po to reikia įsitikinti, kad kapsulė liko tuščia.</w:t>
      </w:r>
    </w:p>
    <w:p w:rsidR="00DE6781" w:rsidRDefault="00DE6781" w:rsidP="00DE6781">
      <w:pPr>
        <w:spacing w:line="240" w:lineRule="auto"/>
        <w:rPr>
          <w:szCs w:val="22"/>
          <w:lang w:val="lt-LT"/>
        </w:rPr>
      </w:pPr>
    </w:p>
    <w:p w:rsidR="00DE6781" w:rsidRDefault="00DE6781" w:rsidP="00DE6781">
      <w:pPr>
        <w:autoSpaceDE w:val="0"/>
        <w:autoSpaceDN w:val="0"/>
        <w:adjustRightInd w:val="0"/>
        <w:spacing w:line="240" w:lineRule="auto"/>
        <w:rPr>
          <w:szCs w:val="22"/>
          <w:lang w:val="lt-LT"/>
        </w:rPr>
      </w:pPr>
      <w:r>
        <w:rPr>
          <w:szCs w:val="22"/>
          <w:lang w:val="lt-LT"/>
        </w:rPr>
        <w:t>Kai pacientas vartoja keletą skirtingų inhaliuojamųjų vaistinių preparatų ar jam skiriama krūtinės ląstos fizioterapija, rekomenduojama, kad TOBI Podhaler būtų vartojamas paskutinis.</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szCs w:val="22"/>
          <w:lang w:val="lt-LT"/>
        </w:rPr>
      </w:pPr>
      <w:r>
        <w:rPr>
          <w:b/>
          <w:szCs w:val="22"/>
          <w:lang w:val="lt-LT"/>
        </w:rPr>
        <w:t>4.3</w:t>
      </w:r>
      <w:r>
        <w:rPr>
          <w:b/>
          <w:szCs w:val="22"/>
          <w:lang w:val="lt-LT"/>
        </w:rPr>
        <w:tab/>
        <w:t>Kontraindikacijos</w:t>
      </w:r>
    </w:p>
    <w:p w:rsidR="00DE6781" w:rsidRDefault="00DE6781" w:rsidP="00DE6781">
      <w:pPr>
        <w:keepNext/>
        <w:widowControl w:val="0"/>
        <w:tabs>
          <w:tab w:val="clear" w:pos="567"/>
        </w:tabs>
        <w:spacing w:line="240" w:lineRule="auto"/>
        <w:rPr>
          <w:szCs w:val="22"/>
          <w:lang w:val="lt-LT"/>
        </w:rPr>
      </w:pPr>
    </w:p>
    <w:p w:rsidR="00DE6781" w:rsidRDefault="00DE6781" w:rsidP="00DE6781">
      <w:pPr>
        <w:spacing w:line="240" w:lineRule="auto"/>
        <w:rPr>
          <w:szCs w:val="22"/>
          <w:lang w:val="lt-LT"/>
        </w:rPr>
      </w:pPr>
      <w:r>
        <w:rPr>
          <w:szCs w:val="22"/>
          <w:lang w:val="lt-LT"/>
        </w:rPr>
        <w:t>Padidėjęs jautrumas veikliajai medžiagai, bet kuriems aminoglikozidams arba bet kuriai pagalbinei medžiagai.</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b/>
          <w:szCs w:val="22"/>
          <w:lang w:val="lt-LT"/>
        </w:rPr>
      </w:pPr>
      <w:r>
        <w:rPr>
          <w:b/>
          <w:szCs w:val="22"/>
          <w:lang w:val="lt-LT"/>
        </w:rPr>
        <w:t>4.4</w:t>
      </w:r>
      <w:r>
        <w:rPr>
          <w:b/>
          <w:szCs w:val="22"/>
          <w:lang w:val="lt-LT"/>
        </w:rPr>
        <w:tab/>
        <w:t>Specialūs įspėjimai ir atsargumo priemonės</w:t>
      </w:r>
    </w:p>
    <w:p w:rsidR="00DE6781" w:rsidRDefault="00DE6781" w:rsidP="00DE6781">
      <w:pPr>
        <w:keepNext/>
        <w:widowControl w:val="0"/>
        <w:tabs>
          <w:tab w:val="clear" w:pos="567"/>
        </w:tabs>
        <w:spacing w:line="240" w:lineRule="auto"/>
        <w:ind w:left="567" w:hanging="567"/>
        <w:rPr>
          <w:szCs w:val="22"/>
          <w:lang w:val="lt-LT"/>
        </w:rPr>
      </w:pPr>
    </w:p>
    <w:p w:rsidR="00DE6781" w:rsidRDefault="00DE6781" w:rsidP="00DE6781">
      <w:pPr>
        <w:keepNext/>
        <w:spacing w:line="240" w:lineRule="auto"/>
        <w:rPr>
          <w:szCs w:val="22"/>
          <w:lang w:val="lt-LT"/>
        </w:rPr>
      </w:pPr>
      <w:r>
        <w:rPr>
          <w:szCs w:val="22"/>
          <w:u w:val="single"/>
          <w:lang w:val="lt-LT"/>
        </w:rPr>
        <w:t>Ototoksinis poveikis</w:t>
      </w:r>
    </w:p>
    <w:p w:rsidR="00DE6781" w:rsidRDefault="00DE6781" w:rsidP="00DE6781">
      <w:pPr>
        <w:spacing w:line="240" w:lineRule="auto"/>
        <w:rPr>
          <w:szCs w:val="22"/>
          <w:lang w:val="lt-LT"/>
        </w:rPr>
      </w:pPr>
      <w:r>
        <w:rPr>
          <w:szCs w:val="22"/>
          <w:lang w:val="lt-LT"/>
        </w:rPr>
        <w:t xml:space="preserve">Skiriant aminoglikozidų parenteriniu būdu, nustatytas jų ototoksinis poveikis, kuris pasireiškia tiek toksiniu poveikiu klausos aparatui (klausos netekimu), tiek toksiniu poveikiu vestibuliniam aparatui. Toksinis poveikis </w:t>
      </w:r>
      <w:r>
        <w:rPr>
          <w:szCs w:val="22"/>
          <w:lang w:val="lt-LT"/>
        </w:rPr>
        <w:lastRenderedPageBreak/>
        <w:t>vestibuliniam aparatui gali pasireikšti svaiguliu, ataksija ar galvos svaigimu. Spengimas ausyse gali būti apsauginiu ototoksinio poveikio simptomu, todėl pasireiškus šiam simptomui reikia imtis atsargumo priemonių.</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Klinikinių tyrimų metu TOBI Podhaler vartojusiems pacientams nustatyta klausos netekimo ir spengimo ausyse atvejų (žr. 4.8 skyrių). TOBI Podhaler reikia atsargiai skirti pacientams, kuriems yra nustatyti ar įtariami klausos ar vestibulinės funkcijos sutrikimai.</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Pacientams, kuriems yra bet kokių klausos funkcijos sutrikimo požymių arba kuriems yra padidėjusi rizika pasireikšti šiems sutrikimams, reikėtų apsvarstyti audiologinio ištyrimo galimybę prieš pradedant skirti gydymą TOBI Podhaler.</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Jeigu TOBI Podhaler vartojimo metu pacientui pasireiškia spengimas ausyse ar jis netenka klausos, gydytojui reikėtų apsvarstyti ir pacientą nukreipti audiologiniam ištyrimui.</w:t>
      </w:r>
    </w:p>
    <w:p w:rsidR="00DE6781" w:rsidRDefault="00DE6781" w:rsidP="00DE6781">
      <w:pPr>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Taip pat žr. toliau šiame skyriuje „Tobramicino koncentracijos serume stebėjimas“.</w:t>
      </w:r>
    </w:p>
    <w:p w:rsidR="00DE6781" w:rsidRDefault="00DE6781" w:rsidP="00DE6781">
      <w:pPr>
        <w:tabs>
          <w:tab w:val="clear" w:pos="567"/>
        </w:tabs>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t>Nefrotoksinis poveikis</w:t>
      </w:r>
    </w:p>
    <w:p w:rsidR="00DE6781" w:rsidRDefault="00DE6781" w:rsidP="00DE6781">
      <w:pPr>
        <w:spacing w:line="240" w:lineRule="auto"/>
        <w:rPr>
          <w:szCs w:val="22"/>
          <w:lang w:val="lt-LT"/>
        </w:rPr>
      </w:pPr>
      <w:r>
        <w:rPr>
          <w:szCs w:val="22"/>
          <w:lang w:val="lt-LT"/>
        </w:rPr>
        <w:t>Skiriant aminoglikozidų parenteriniu būdu, nustatytas jų nefrotoksinis poveikis. Klinikinių tyrimų metu TOBI Podhaler vartojusiems pacientams nefrotoksinio poveikio nepastebėta. TOBI Podhaler reikia atsargiai skirti pacientams, kuriems yra nustatytas ar įtariamas inkstų funkcijos sutrikimas. Prieš pradedant gydymą reikia ištirti inkstų funkciją. Baigus kiekvienus šešis TOBI Podhaler gydymo kursus, reikia pakartotinai ištirti šlapalo ir kreatinino koncentracijas kraujyje.</w:t>
      </w:r>
    </w:p>
    <w:p w:rsidR="00DE6781" w:rsidRDefault="00DE6781" w:rsidP="00DE6781">
      <w:pPr>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Taip pat žr. 4.2 skyrių ir toliau šiame skyriuje „Tobramicino koncentracijos serume stebėjimas“.</w:t>
      </w:r>
    </w:p>
    <w:p w:rsidR="00DE6781" w:rsidRDefault="00DE6781" w:rsidP="00DE6781">
      <w:pPr>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t>Tobramicino koncentracijos serume stebėjimas</w:t>
      </w:r>
    </w:p>
    <w:p w:rsidR="00DE6781" w:rsidRDefault="00DE6781" w:rsidP="00DE6781">
      <w:pPr>
        <w:spacing w:line="240" w:lineRule="auto"/>
        <w:rPr>
          <w:szCs w:val="22"/>
          <w:lang w:val="lt-LT"/>
        </w:rPr>
      </w:pPr>
      <w:r>
        <w:rPr>
          <w:szCs w:val="22"/>
          <w:lang w:val="lt-LT"/>
        </w:rPr>
        <w:t>Pacientams, kuriems yra nustatyti ar įtariami klausos arba inkstų funkcijos sutrikimai, reikėtų stebėti tobramicino koncentraciją serume. Jeigu TOBI Podhaler vartojantiems pacientams pasireiškia ototoksinis arba nefrotoksinis vaisto poveikis, gydymą tobramicinu reikia nutraukti iki tol, kol jo koncentracija serume sumažės mažiau 2 µg/ml ribos.</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Didesnė kaip 12 µg/ml tobramicino koncentracija serume susijusi su toksinio vaisto poveikio pasireiškimu, todėl koncentracijai viršijus šią ribą, vaisto vartojimą reikia nutraukti.</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Tobramicino koncentraciją serume reikia tirti naudojant tik patvirtintus tyrimo metodus. Nerekomenduojama imti kraujo mėginių iš piršto dėl padidėjusios mėginių užteršimo rizikos.</w:t>
      </w:r>
    </w:p>
    <w:p w:rsidR="00DE6781" w:rsidRDefault="00DE6781" w:rsidP="00DE6781">
      <w:pPr>
        <w:tabs>
          <w:tab w:val="clear" w:pos="567"/>
        </w:tabs>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t>Bronchų spazmas</w:t>
      </w:r>
    </w:p>
    <w:p w:rsidR="00DE6781" w:rsidRDefault="00DE6781" w:rsidP="00DE6781">
      <w:pPr>
        <w:spacing w:line="240" w:lineRule="auto"/>
        <w:rPr>
          <w:szCs w:val="22"/>
          <w:lang w:val="lt-LT"/>
        </w:rPr>
      </w:pPr>
      <w:r>
        <w:rPr>
          <w:szCs w:val="22"/>
          <w:lang w:val="lt-LT"/>
        </w:rPr>
        <w:t>Inhaliuojant vaistinių preparatų gali pasireikšti bronchų spazmas, toks poveikis pasireiškė ir TOBI Podhaler klinikinių tyrimų metu. Bronchų spazmą reikia atitinkamai gydyti medicininėmis priemonėmis.</w:t>
      </w:r>
    </w:p>
    <w:p w:rsidR="00DE6781" w:rsidRDefault="00DE6781" w:rsidP="00DE6781">
      <w:pPr>
        <w:tabs>
          <w:tab w:val="clear" w:pos="567"/>
        </w:tabs>
        <w:spacing w:line="240" w:lineRule="auto"/>
        <w:rPr>
          <w:szCs w:val="22"/>
          <w:lang w:val="lt-LT"/>
        </w:rPr>
      </w:pPr>
    </w:p>
    <w:p w:rsidR="00DE6781" w:rsidRDefault="00DE6781" w:rsidP="00DE6781">
      <w:pPr>
        <w:spacing w:line="240" w:lineRule="auto"/>
        <w:rPr>
          <w:szCs w:val="22"/>
          <w:lang w:val="lt-LT"/>
        </w:rPr>
      </w:pPr>
      <w:r>
        <w:rPr>
          <w:szCs w:val="22"/>
          <w:lang w:val="lt-LT"/>
        </w:rPr>
        <w:t>Pirmąją TOBI Podhaler dozę reikia skirti gydytojui prižiūrint, prieš tai pacientui pavartojus bronchus plečiančio preparato, jei tai yra įprasto paciento vartojamo gydymo dalis. Prieš TOBI Podhaler inhaliaciją ir po jos reikia išmatuoti FEV</w:t>
      </w:r>
      <w:r>
        <w:rPr>
          <w:szCs w:val="22"/>
          <w:vertAlign w:val="subscript"/>
          <w:lang w:val="lt-LT"/>
        </w:rPr>
        <w:t>1</w:t>
      </w:r>
      <w:r>
        <w:rPr>
          <w:szCs w:val="22"/>
          <w:lang w:val="lt-LT"/>
        </w:rPr>
        <w:t xml:space="preserve"> rodiklį.</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Jeigu yra akivaizdžių gydymo sukelto bronchų spazmo požymių, gydytojui reikėtų atidžiai įvertinti, ar tolesnio TOBI Podhaler vartojimo nauda pacientui viršija riziką. Jeigu įtariama alerginė reakcija, TOBI Podhaler vartojimą reikia nutraukti.</w:t>
      </w:r>
    </w:p>
    <w:p w:rsidR="00DE6781" w:rsidRDefault="00DE6781" w:rsidP="00DE6781">
      <w:pPr>
        <w:tabs>
          <w:tab w:val="clear" w:pos="567"/>
        </w:tabs>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lastRenderedPageBreak/>
        <w:t>Kosulys</w:t>
      </w:r>
    </w:p>
    <w:p w:rsidR="00DE6781" w:rsidRDefault="00DE6781" w:rsidP="00DE6781">
      <w:pPr>
        <w:spacing w:line="240" w:lineRule="auto"/>
        <w:rPr>
          <w:szCs w:val="22"/>
          <w:lang w:val="lt-LT"/>
        </w:rPr>
      </w:pPr>
      <w:r>
        <w:rPr>
          <w:szCs w:val="22"/>
          <w:lang w:val="lt-LT"/>
        </w:rPr>
        <w:t xml:space="preserve">Inhaliuojant vaistinių preparatų gali pasireikšti kosulys, toks poveikis pasireiškė ir vartojantiesiems TOBI Podhaler klinikinių tyrimų metu. Remiantis klinikinio tyrimo duomenimis, vartojant </w:t>
      </w:r>
      <w:r>
        <w:rPr>
          <w:noProof/>
          <w:szCs w:val="22"/>
          <w:lang w:val="lt-LT"/>
        </w:rPr>
        <w:t xml:space="preserve">TOBI Podhaler </w:t>
      </w:r>
      <w:r>
        <w:rPr>
          <w:szCs w:val="22"/>
          <w:lang w:val="lt-LT"/>
        </w:rPr>
        <w:t>inhaliacinių miltelių</w:t>
      </w:r>
      <w:r>
        <w:rPr>
          <w:noProof/>
          <w:szCs w:val="22"/>
          <w:lang w:val="lt-LT"/>
        </w:rPr>
        <w:t xml:space="preserve"> pranešta apie dažniau pasireiškusius kosulio atvejus, lyginant su tobramicino </w:t>
      </w:r>
      <w:r>
        <w:rPr>
          <w:szCs w:val="22"/>
          <w:lang w:val="lt-LT"/>
        </w:rPr>
        <w:t>purškiamojo tirpalo (TOBI) vartojimu</w:t>
      </w:r>
      <w:r>
        <w:rPr>
          <w:noProof/>
          <w:szCs w:val="22"/>
          <w:lang w:val="lt-LT"/>
        </w:rPr>
        <w:t xml:space="preserve">. </w:t>
      </w:r>
      <w:r>
        <w:rPr>
          <w:szCs w:val="22"/>
          <w:lang w:val="lt-LT"/>
        </w:rPr>
        <w:t>Kosulys nebuvo susijęs su bronchų spazmu. TOBI Podhaler vartojantiems jaunesniems kaip 13 metų vaikams kosulys gali pasireikšti dažniau nei vyresniems pacientams.</w:t>
      </w:r>
    </w:p>
    <w:p w:rsidR="00DE6781" w:rsidRDefault="00DE6781" w:rsidP="00DE6781">
      <w:pPr>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Jeigu yra akivaizdžių gydymo TOBI Podhaler sukelto pasikartojančio kosulio požymių, gydytojui reikėtų apsvarstyti, ar nevertėtų paskirti alternatyvaus gydymo registruotu tobramicino purškiamuoju tirpalu. Jei ir tokiu atveju kosulys išlieka nepakitęs, reikia skirti kitų antibiotikų.</w:t>
      </w:r>
    </w:p>
    <w:p w:rsidR="00DE6781" w:rsidRDefault="00DE6781" w:rsidP="00DE6781">
      <w:pPr>
        <w:tabs>
          <w:tab w:val="clear" w:pos="567"/>
        </w:tabs>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t>Atsikosėjimas krauju</w:t>
      </w:r>
    </w:p>
    <w:p w:rsidR="00DE6781" w:rsidRDefault="00DE6781" w:rsidP="00DE6781">
      <w:pPr>
        <w:spacing w:line="240" w:lineRule="auto"/>
        <w:rPr>
          <w:szCs w:val="22"/>
          <w:lang w:val="lt-LT"/>
        </w:rPr>
      </w:pPr>
      <w:r>
        <w:rPr>
          <w:szCs w:val="22"/>
          <w:lang w:val="lt-LT"/>
        </w:rPr>
        <w:t>Atsikosėjimas krauju yra cistinės fibrozės komplikacija, kuri dažniau pasireiškia tarp suaugusiųjų. Pacientai, kuriems pasireiškė kraujo atkosėjimas (&gt;60 ml), nebuvo įtraukiami į klinikinius tyrimus, todėl apie TOBI Podhaler vartojimą šiems pacientams duomenų nėra. Todėl prieš skiriant vaisto, reikėtų atsižvelgti, kad inhaliaciniai milteliai TOBI Podhaler gali sukeiti stiprų kosulį (žr. žemiau). Pacientams, kuriems pasireiškia kliniškai reikšmingas kraujo atkosėjimas, TOBI Podhaler reikia skirti arba gydymą tęsti tik tuomet, kai manoma, jog gydymo nauda viršija tolesnio kraujavimo skatinimo riziką.</w:t>
      </w:r>
    </w:p>
    <w:p w:rsidR="00DE6781" w:rsidRDefault="00DE6781" w:rsidP="00DE6781">
      <w:pPr>
        <w:spacing w:line="240" w:lineRule="auto"/>
        <w:rPr>
          <w:szCs w:val="22"/>
          <w:lang w:val="lt-LT"/>
        </w:rPr>
      </w:pPr>
    </w:p>
    <w:p w:rsidR="00DE6781" w:rsidRPr="00707451" w:rsidRDefault="00DE6781" w:rsidP="00DE6781">
      <w:pPr>
        <w:keepNext/>
        <w:spacing w:line="240" w:lineRule="auto"/>
        <w:rPr>
          <w:szCs w:val="22"/>
          <w:u w:val="single"/>
          <w:lang w:val="lt-LT"/>
        </w:rPr>
      </w:pPr>
      <w:r>
        <w:rPr>
          <w:szCs w:val="22"/>
          <w:u w:val="single"/>
          <w:lang w:val="lt-LT"/>
        </w:rPr>
        <w:t>Kitos atsargumo priemonės</w:t>
      </w:r>
    </w:p>
    <w:p w:rsidR="00DE6781" w:rsidRDefault="00DE6781" w:rsidP="00DE6781">
      <w:pPr>
        <w:spacing w:line="240" w:lineRule="auto"/>
        <w:rPr>
          <w:szCs w:val="22"/>
          <w:lang w:val="lt-LT"/>
        </w:rPr>
      </w:pPr>
      <w:r>
        <w:rPr>
          <w:szCs w:val="22"/>
          <w:lang w:val="lt-LT"/>
        </w:rPr>
        <w:t>Pacientų, kuriems kartu skiriamas gydymas parenteriniu būdu vartojamais aminoglikozidais (arba bet kuriais kitais inkstų ekskrecinę funkciją veikiančiais vaistais, pavyzdžiui, diuretikais), būklę reikėtų atitinkamai stebėti, atsižvelgiant į galimą kumuliacinio toksinio poveikio riziką. Taip pat reikėtų stebėti tobramicino koncentraciją serume. Pacientams, kuriems nustatoma predisponuojančių rizikos veiksnių dėl anksčiau skirto ilgalaikio sisteminio gydymo aminoglikozidais, gali reikėti apsvarstyti ir atlikti inkstų funkcijos bei audiologinius tyrimus prieš pradedant skirti gydymą TOBI Podhaler.</w:t>
      </w:r>
    </w:p>
    <w:p w:rsidR="00DE6781" w:rsidRDefault="00DE6781" w:rsidP="00DE6781">
      <w:pPr>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Taip pat žr. anksčiau šiame skyriuje „Tobramicino koncentracijos serume stebėjimas“.</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TOBI Podhaler reikia atsargiai skirti pacientams, kuriems yra nustatyta ar įtariama neuroraumeninė liga, pavyzdžiui, generalizuota miastenija, ar Parkinsono liga. Aminoglikozidai gali sunkinti raumenų silpnumą dėl galimo jų į kurarė preparatus panašaus poveikio nervų ir raumenų sinapsių funkcijai.</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 xml:space="preserve">Dėl gydymo antibiotikais gali išsivystyti atspari antibiotikams </w:t>
      </w:r>
      <w:r>
        <w:rPr>
          <w:i/>
          <w:szCs w:val="22"/>
          <w:lang w:val="lt-LT"/>
        </w:rPr>
        <w:t>P. aeruginosa</w:t>
      </w:r>
      <w:r>
        <w:rPr>
          <w:szCs w:val="22"/>
          <w:lang w:val="lt-LT"/>
        </w:rPr>
        <w:t xml:space="preserve"> padermė ir superinfekcija su kitais patogenais. Klinikinių tyrimų metu kai kuriems </w:t>
      </w:r>
      <w:r>
        <w:rPr>
          <w:iCs/>
          <w:szCs w:val="22"/>
          <w:lang w:val="lt-LT"/>
        </w:rPr>
        <w:t xml:space="preserve">TOBI Podhaler gydytiems </w:t>
      </w:r>
      <w:r>
        <w:rPr>
          <w:szCs w:val="22"/>
          <w:lang w:val="lt-LT"/>
        </w:rPr>
        <w:t xml:space="preserve">pacientams nustatyta padidėjusi aminoglikozidų mažiausioji slopinamoji koncentracija (angl. </w:t>
      </w:r>
      <w:r>
        <w:rPr>
          <w:i/>
          <w:szCs w:val="22"/>
          <w:lang w:val="lt-LT"/>
        </w:rPr>
        <w:t xml:space="preserve">minimum inhibitory concentrations </w:t>
      </w:r>
      <w:r>
        <w:rPr>
          <w:szCs w:val="22"/>
          <w:lang w:val="lt-LT"/>
        </w:rPr>
        <w:t xml:space="preserve">– MIC) tirtoms </w:t>
      </w:r>
      <w:r>
        <w:rPr>
          <w:i/>
          <w:szCs w:val="22"/>
          <w:lang w:val="lt-LT"/>
        </w:rPr>
        <w:t>P. aeruginosa</w:t>
      </w:r>
      <w:r>
        <w:rPr>
          <w:szCs w:val="22"/>
          <w:lang w:val="lt-LT"/>
        </w:rPr>
        <w:t xml:space="preserve"> padermėms. Pastebėtas MIC reikšmių padidėjimas daugeliu atvejų buvo laikinas ir tapdavo normaliu tuo metu, kai gydymo nebuvo skiriama.</w:t>
      </w:r>
    </w:p>
    <w:p w:rsidR="00DE6781" w:rsidRDefault="00DE6781" w:rsidP="00DE6781">
      <w:pPr>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 xml:space="preserve">Yra teorinė rizika, kad ilgainiui </w:t>
      </w:r>
      <w:r>
        <w:rPr>
          <w:iCs/>
          <w:szCs w:val="22"/>
          <w:lang w:val="lt-LT"/>
        </w:rPr>
        <w:t xml:space="preserve">TOBI Podhaler </w:t>
      </w:r>
      <w:r>
        <w:rPr>
          <w:szCs w:val="22"/>
          <w:lang w:val="lt-LT"/>
        </w:rPr>
        <w:t xml:space="preserve">gydomiems pacientams gali išsivystyti į veną vartojamam tobramicinui atsparios </w:t>
      </w:r>
      <w:r>
        <w:rPr>
          <w:i/>
          <w:szCs w:val="22"/>
          <w:lang w:val="lt-LT"/>
        </w:rPr>
        <w:t xml:space="preserve">P. aeruginosa </w:t>
      </w:r>
      <w:r>
        <w:rPr>
          <w:szCs w:val="22"/>
          <w:lang w:val="lt-LT"/>
        </w:rPr>
        <w:t>padermės (žr. 5.1 skyrių). Atsparios gydymui padermės išsivystymas inhaliuojamosios terapijos tobramicinu metu gali riboti gydymo pasirinkimą ligos paūmėjimo metu. Tai turi būti tiriama.</w:t>
      </w:r>
    </w:p>
    <w:p w:rsidR="00DE6781" w:rsidRDefault="00DE6781" w:rsidP="00DE6781">
      <w:pPr>
        <w:tabs>
          <w:tab w:val="clear" w:pos="567"/>
        </w:tabs>
        <w:spacing w:line="240" w:lineRule="auto"/>
        <w:rPr>
          <w:szCs w:val="22"/>
          <w:lang w:val="lt-LT"/>
        </w:rPr>
      </w:pPr>
    </w:p>
    <w:p w:rsidR="00DE6781" w:rsidRDefault="00DE6781" w:rsidP="00DE6781">
      <w:pPr>
        <w:keepNext/>
        <w:tabs>
          <w:tab w:val="clear" w:pos="567"/>
        </w:tabs>
        <w:spacing w:line="240" w:lineRule="auto"/>
        <w:rPr>
          <w:szCs w:val="22"/>
          <w:u w:val="single"/>
          <w:lang w:val="lt-LT"/>
        </w:rPr>
      </w:pPr>
      <w:r>
        <w:rPr>
          <w:szCs w:val="22"/>
          <w:u w:val="single"/>
          <w:lang w:val="lt-LT"/>
        </w:rPr>
        <w:t>Vaisto skyrimo skirtingų amžiaus grupių pacientams duomenys</w:t>
      </w:r>
    </w:p>
    <w:p w:rsidR="00DE6781" w:rsidRDefault="00DE6781" w:rsidP="00DE6781">
      <w:pPr>
        <w:tabs>
          <w:tab w:val="clear" w:pos="567"/>
        </w:tabs>
        <w:spacing w:line="240" w:lineRule="auto"/>
        <w:rPr>
          <w:szCs w:val="22"/>
          <w:lang w:val="lt-LT"/>
        </w:rPr>
      </w:pPr>
      <w:r>
        <w:rPr>
          <w:szCs w:val="22"/>
          <w:lang w:val="lt-LT"/>
        </w:rPr>
        <w:t xml:space="preserve">6 mėnesių trukmės (3 gydymo ciklų) tyrimo, kurio metu buvo lyginamas TOBI Podhaler ir </w:t>
      </w:r>
      <w:r>
        <w:rPr>
          <w:noProof/>
          <w:szCs w:val="22"/>
          <w:lang w:val="lt-LT"/>
        </w:rPr>
        <w:t xml:space="preserve">tobramicino </w:t>
      </w:r>
      <w:r>
        <w:rPr>
          <w:szCs w:val="22"/>
          <w:lang w:val="lt-LT"/>
        </w:rPr>
        <w:t xml:space="preserve">purškiamojo tirpalo (TOBI) poveikis ir kuriame dalyvavo dauguma anksčiau tobramicinu gydytų </w:t>
      </w:r>
      <w:r>
        <w:rPr>
          <w:i/>
          <w:szCs w:val="22"/>
          <w:lang w:val="lt-LT"/>
        </w:rPr>
        <w:t>P. aeruginosa</w:t>
      </w:r>
      <w:r>
        <w:rPr>
          <w:szCs w:val="22"/>
          <w:lang w:val="lt-LT"/>
        </w:rPr>
        <w:t xml:space="preserve"> sukelta lėtine plaučių infekcija sergančių suaugusių pacientų, duomenimis, </w:t>
      </w:r>
      <w:r>
        <w:rPr>
          <w:i/>
          <w:szCs w:val="22"/>
          <w:lang w:val="lt-LT"/>
        </w:rPr>
        <w:t>P. aeruginosa</w:t>
      </w:r>
      <w:r>
        <w:rPr>
          <w:szCs w:val="22"/>
          <w:lang w:val="lt-LT"/>
        </w:rPr>
        <w:t xml:space="preserve"> tankio skreplių tyrime slopinimas buvo panašus visų amžiaus pogrupių pacientams abejose gydymo grupėse. Tačiau FEV</w:t>
      </w:r>
      <w:r>
        <w:rPr>
          <w:szCs w:val="22"/>
          <w:vertAlign w:val="subscript"/>
          <w:lang w:val="lt-LT"/>
        </w:rPr>
        <w:t>1</w:t>
      </w:r>
      <w:r>
        <w:rPr>
          <w:szCs w:val="22"/>
          <w:lang w:val="lt-LT"/>
        </w:rPr>
        <w:t xml:space="preserve"> rodiklis, lyginant su pradine reikšme, abejose gydymo grupėse labiau padidėjo jaunesniems pacientams (nuo 6 iki &lt;20 metų amžiaus) nei suaugusiųjų pogrupyje (20 metų ir vyresnių). Taip pat žr. 5.1 skyrių TOBI Podhaler </w:t>
      </w:r>
      <w:r>
        <w:rPr>
          <w:szCs w:val="22"/>
          <w:lang w:val="lt-LT"/>
        </w:rPr>
        <w:lastRenderedPageBreak/>
        <w:t>tiriamųjų grupės atsako rezultatai lyginant su tobramicino purškiamuoju tirpalu. D</w:t>
      </w:r>
      <w:r>
        <w:rPr>
          <w:noProof/>
          <w:szCs w:val="22"/>
          <w:lang w:val="lt-LT"/>
        </w:rPr>
        <w:t xml:space="preserve">ėl netoleravimo </w:t>
      </w:r>
      <w:r>
        <w:rPr>
          <w:szCs w:val="22"/>
          <w:lang w:val="lt-LT"/>
        </w:rPr>
        <w:t xml:space="preserve">suaugę pacientai buvo linkę dažniau nutraukti </w:t>
      </w:r>
      <w:r>
        <w:rPr>
          <w:noProof/>
          <w:szCs w:val="22"/>
          <w:lang w:val="lt-LT"/>
        </w:rPr>
        <w:t xml:space="preserve">TOBI Podhaler vartojimą nei </w:t>
      </w:r>
      <w:r>
        <w:rPr>
          <w:szCs w:val="22"/>
          <w:lang w:val="lt-LT"/>
        </w:rPr>
        <w:t>purškiamojo tirpalo vartojimą</w:t>
      </w:r>
      <w:r>
        <w:rPr>
          <w:noProof/>
          <w:szCs w:val="22"/>
          <w:lang w:val="lt-LT"/>
        </w:rPr>
        <w:t>. Taip pat žr. 4.8 skyrių.</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Jeigu nustatomas klinikinis plaučių būklės pablogėjimas, reikėtų apsvarstyti papildomo ar kito vaisto nuo pseudomonų sukeltos infekcijos paskyrimo galimybę.</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 xml:space="preserve">Stebima vaisto vartojimo nauda plaučių funkcijai ir </w:t>
      </w:r>
      <w:r>
        <w:rPr>
          <w:i/>
          <w:szCs w:val="22"/>
          <w:lang w:val="lt-LT"/>
        </w:rPr>
        <w:t>P. aeruginosa</w:t>
      </w:r>
      <w:r>
        <w:rPr>
          <w:szCs w:val="22"/>
          <w:lang w:val="lt-LT"/>
        </w:rPr>
        <w:t xml:space="preserve"> slopinimas turėtų būti įvertinami atsižvelgiant į tai, kaip pacientas toleruoja TOBI Podhaler.</w:t>
      </w:r>
    </w:p>
    <w:p w:rsidR="00DE6781" w:rsidRDefault="00DE6781" w:rsidP="00DE6781">
      <w:pPr>
        <w:tabs>
          <w:tab w:val="clear" w:pos="567"/>
        </w:tabs>
        <w:spacing w:line="240" w:lineRule="auto"/>
        <w:rPr>
          <w:szCs w:val="22"/>
          <w:lang w:val="lt-LT"/>
        </w:rPr>
      </w:pPr>
    </w:p>
    <w:p w:rsidR="00DE6781" w:rsidRDefault="00DE6781" w:rsidP="00DE6781">
      <w:pPr>
        <w:spacing w:line="240" w:lineRule="auto"/>
        <w:rPr>
          <w:szCs w:val="22"/>
          <w:lang w:val="lt-LT"/>
        </w:rPr>
      </w:pPr>
      <w:r>
        <w:rPr>
          <w:szCs w:val="22"/>
          <w:lang w:val="lt-LT"/>
        </w:rPr>
        <w:t>Vaisto saugumas ir veiksmingumas nebuvo tirtas pacientams, kurių forsuoto iškvėpimo tūris per 1 sekundę (FEV</w:t>
      </w:r>
      <w:r>
        <w:rPr>
          <w:szCs w:val="22"/>
          <w:vertAlign w:val="subscript"/>
          <w:lang w:val="lt-LT"/>
        </w:rPr>
        <w:t>1</w:t>
      </w:r>
      <w:r>
        <w:rPr>
          <w:szCs w:val="22"/>
          <w:lang w:val="lt-LT"/>
        </w:rPr>
        <w:t xml:space="preserve">) yra &lt;25 % arba &gt;75 % numanomos reikšmės, bei tiems, kuriems nustatyta kolonizacija </w:t>
      </w:r>
      <w:r>
        <w:rPr>
          <w:i/>
          <w:iCs/>
          <w:szCs w:val="22"/>
          <w:lang w:val="lt-LT"/>
        </w:rPr>
        <w:t>Burkholderia cepacia.</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Ilgalaikių TOBI Podhaler vartojimo saugumo duomenų nėra.</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b/>
          <w:szCs w:val="22"/>
          <w:lang w:val="lt-LT"/>
        </w:rPr>
      </w:pPr>
      <w:r>
        <w:rPr>
          <w:b/>
          <w:szCs w:val="22"/>
          <w:lang w:val="lt-LT"/>
        </w:rPr>
        <w:t>4.5</w:t>
      </w:r>
      <w:r>
        <w:rPr>
          <w:b/>
          <w:szCs w:val="22"/>
          <w:lang w:val="lt-LT"/>
        </w:rPr>
        <w:tab/>
        <w:t>Sąveika su kitais vaistiniais preparatais ir kitokia sąveika</w:t>
      </w:r>
    </w:p>
    <w:p w:rsidR="00DE6781" w:rsidRDefault="00DE6781" w:rsidP="00DE6781">
      <w:pPr>
        <w:keepNext/>
        <w:widowControl w:val="0"/>
        <w:tabs>
          <w:tab w:val="clear" w:pos="567"/>
        </w:tabs>
        <w:spacing w:line="240" w:lineRule="auto"/>
        <w:ind w:left="567" w:hanging="567"/>
        <w:rPr>
          <w:szCs w:val="22"/>
          <w:lang w:val="lt-LT"/>
        </w:rPr>
      </w:pPr>
    </w:p>
    <w:p w:rsidR="00DE6781" w:rsidRDefault="00DE6781" w:rsidP="00DE6781">
      <w:pPr>
        <w:tabs>
          <w:tab w:val="clear" w:pos="567"/>
        </w:tabs>
        <w:spacing w:line="240" w:lineRule="auto"/>
        <w:rPr>
          <w:szCs w:val="22"/>
          <w:lang w:val="lt-LT"/>
        </w:rPr>
      </w:pPr>
      <w:r>
        <w:rPr>
          <w:szCs w:val="22"/>
          <w:lang w:val="lt-LT"/>
        </w:rPr>
        <w:t>TOBI Podhaler sąveikos tyrimų neatlikta. Remiantis intraveniniu ir aerozolio būdu vartojamo tobramicino sąveikos duomenimis, TOBI Podhaler nerekomenduojama vartoti kartu ir (arba) paeiliui su kitais nefrotoksiškai ar ototoksiškai galinčiais veikti vaistiniais preparatais.</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TOBI Podhaler</w:t>
      </w:r>
      <w:r>
        <w:rPr>
          <w:i/>
          <w:iCs/>
          <w:szCs w:val="22"/>
          <w:lang w:val="lt-LT"/>
        </w:rPr>
        <w:t xml:space="preserve"> </w:t>
      </w:r>
      <w:r>
        <w:rPr>
          <w:iCs/>
          <w:szCs w:val="22"/>
          <w:lang w:val="lt-LT"/>
        </w:rPr>
        <w:t>nerekomenduojama vartoti kartu su diurezę skatinančiomis medžiagomis</w:t>
      </w:r>
      <w:r>
        <w:rPr>
          <w:szCs w:val="22"/>
          <w:lang w:val="lt-LT"/>
        </w:rPr>
        <w:t xml:space="preserve"> (pavyzdžiui, su etakrino rūgštimi, furozemidu, šlapalu ar manitoliu). Šios medžiagos gali stiprinti aminoglikozidų toksinį poveikį keisdamos antibiotikų koncentraciją serume ir audiniuose.</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Taip pat žr. 4.4 skyriuje informaciją apie sisteminio poveikio aminoglikozidų ir diuretikų vartojimą paeiliui ar kartu.</w:t>
      </w:r>
    </w:p>
    <w:p w:rsidR="00DE6781" w:rsidRDefault="00DE6781" w:rsidP="00DE6781">
      <w:pPr>
        <w:spacing w:line="240" w:lineRule="auto"/>
        <w:rPr>
          <w:szCs w:val="22"/>
          <w:lang w:val="lt-LT"/>
        </w:rPr>
      </w:pPr>
    </w:p>
    <w:p w:rsidR="00DE6781" w:rsidRDefault="00DE6781" w:rsidP="00DE6781">
      <w:pPr>
        <w:keepNext/>
        <w:spacing w:line="240" w:lineRule="auto"/>
        <w:rPr>
          <w:szCs w:val="22"/>
          <w:lang w:val="lt-LT"/>
        </w:rPr>
      </w:pPr>
      <w:r>
        <w:rPr>
          <w:szCs w:val="22"/>
          <w:lang w:val="lt-LT"/>
        </w:rPr>
        <w:t>Kiti vaistiniai preparatai, apie kuriuos pranešta, kad stiprina galimą toksinį parenteriniu būdu vartojamų aminoglikozidų poveikį, yra šie:</w:t>
      </w:r>
    </w:p>
    <w:p w:rsidR="00DE6781" w:rsidRDefault="00DE6781" w:rsidP="00DE6781">
      <w:pPr>
        <w:numPr>
          <w:ilvl w:val="0"/>
          <w:numId w:val="2"/>
        </w:numPr>
        <w:tabs>
          <w:tab w:val="clear" w:pos="567"/>
        </w:tabs>
        <w:spacing w:line="240" w:lineRule="auto"/>
        <w:ind w:left="567"/>
        <w:rPr>
          <w:szCs w:val="22"/>
          <w:lang w:val="lt-LT"/>
        </w:rPr>
      </w:pPr>
      <w:r>
        <w:rPr>
          <w:szCs w:val="22"/>
          <w:lang w:val="lt-LT"/>
        </w:rPr>
        <w:t>amfotericinas B, cefalotinas, ciklosporinas, takrolimas, polimiksinai (didėja nefrotoksinio poveikio rizika);</w:t>
      </w:r>
    </w:p>
    <w:p w:rsidR="00DE6781" w:rsidRDefault="00DE6781" w:rsidP="00DE6781">
      <w:pPr>
        <w:numPr>
          <w:ilvl w:val="0"/>
          <w:numId w:val="2"/>
        </w:numPr>
        <w:tabs>
          <w:tab w:val="clear" w:pos="567"/>
        </w:tabs>
        <w:spacing w:line="240" w:lineRule="auto"/>
        <w:ind w:left="567"/>
        <w:rPr>
          <w:szCs w:val="22"/>
          <w:lang w:val="lt-LT"/>
        </w:rPr>
      </w:pPr>
      <w:r>
        <w:rPr>
          <w:szCs w:val="22"/>
          <w:lang w:val="lt-LT"/>
        </w:rPr>
        <w:t>platinos preparatai (didėja nefrotoksinio ir ototoksinio poveikio rizika);</w:t>
      </w:r>
    </w:p>
    <w:p w:rsidR="00DE6781" w:rsidRDefault="00DE6781" w:rsidP="00DE6781">
      <w:pPr>
        <w:numPr>
          <w:ilvl w:val="0"/>
          <w:numId w:val="2"/>
        </w:numPr>
        <w:tabs>
          <w:tab w:val="clear" w:pos="567"/>
        </w:tabs>
        <w:spacing w:line="240" w:lineRule="auto"/>
        <w:ind w:left="567"/>
        <w:rPr>
          <w:szCs w:val="22"/>
          <w:lang w:val="lt-LT"/>
        </w:rPr>
      </w:pPr>
      <w:r>
        <w:rPr>
          <w:szCs w:val="22"/>
          <w:lang w:val="lt-LT"/>
        </w:rPr>
        <w:t>cholinesterazės inhibitoriai, botulino toksinas (poveikis nervų ir raumenų sinapsėms).</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Klinikinių tyrimų metu pacientai, kuriems buvo skirtas gydymas TOBI Podhaler, toliau vartojo dornazės alfa, bronchus plečiančių preparatų, inhaliuojamųjų kortikosteroidų ir makrolidų; sąveikos su šiais vaistais požymių nenustatyta.</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t>4.6</w:t>
      </w:r>
      <w:r>
        <w:rPr>
          <w:b/>
          <w:szCs w:val="22"/>
          <w:lang w:val="lt-LT"/>
        </w:rPr>
        <w:tab/>
        <w:t xml:space="preserve">Vaisingumas, </w:t>
      </w:r>
      <w:r>
        <w:rPr>
          <w:b/>
          <w:bCs/>
          <w:szCs w:val="22"/>
          <w:lang w:val="lt-LT"/>
        </w:rPr>
        <w:t>nėštumo ir žindymo laikotarpis</w:t>
      </w:r>
    </w:p>
    <w:p w:rsidR="00DE6781" w:rsidRDefault="00DE6781" w:rsidP="00DE6781">
      <w:pPr>
        <w:keepNext/>
        <w:widowControl w:val="0"/>
        <w:tabs>
          <w:tab w:val="clear" w:pos="567"/>
        </w:tabs>
        <w:spacing w:line="240" w:lineRule="auto"/>
        <w:rPr>
          <w:szCs w:val="22"/>
          <w:lang w:val="lt-LT"/>
        </w:rPr>
      </w:pPr>
    </w:p>
    <w:p w:rsidR="00DE6781" w:rsidRDefault="00DE6781" w:rsidP="00DE6781">
      <w:pPr>
        <w:keepNext/>
        <w:widowControl w:val="0"/>
        <w:tabs>
          <w:tab w:val="clear" w:pos="567"/>
        </w:tabs>
        <w:spacing w:line="240" w:lineRule="auto"/>
        <w:rPr>
          <w:szCs w:val="22"/>
          <w:u w:val="single"/>
          <w:lang w:val="lt-LT"/>
        </w:rPr>
      </w:pPr>
      <w:r>
        <w:rPr>
          <w:szCs w:val="22"/>
          <w:u w:val="single"/>
          <w:lang w:val="lt-LT"/>
        </w:rPr>
        <w:t>Nėštumas</w:t>
      </w:r>
    </w:p>
    <w:p w:rsidR="00DE6781" w:rsidRDefault="00DE6781" w:rsidP="00DE6781">
      <w:pPr>
        <w:tabs>
          <w:tab w:val="clear" w:pos="567"/>
        </w:tabs>
        <w:spacing w:line="240" w:lineRule="auto"/>
        <w:rPr>
          <w:szCs w:val="22"/>
          <w:lang w:val="lt-LT"/>
        </w:rPr>
      </w:pPr>
      <w:r>
        <w:rPr>
          <w:szCs w:val="22"/>
          <w:lang w:val="lt-LT"/>
        </w:rPr>
        <w:t>Duomenų apie inhaliuojamojo tobramicino vartojimą nėštumo metu nepakanka. Su gyvūnais atlikti tyrimai teratogeninio tobramicino poveikio neparodė (žr. 5.3 skyrių). Tačiau aminoglikozidai gali pažeisti vaisių (pvz., sukelti įgimtą kurtumą), kai nėštumo metu moterų organizme susidaro didelė sisteminė jų koncentracija. Įkvėpus TOBI Podhaler, sisteminė vaisto ekspozicija yra labai maža, tačiau TOBI Podhaler nėštumo metu vartoti negalima, išskyrus neabejotinai būtinus atvejus, t.y., kai gydymo nauda moteriai viršija galimą riziką vaisiui. Jeigu TOBI Podhaler pacientė vartoja nėštumo metu arba vaisto vartojanti pacientė pastoja, ją būtina įspėti apie galimą pavojų vaisiui.</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rPr>
          <w:szCs w:val="22"/>
          <w:u w:val="single"/>
          <w:lang w:val="lt-LT"/>
        </w:rPr>
      </w:pPr>
      <w:r>
        <w:rPr>
          <w:szCs w:val="22"/>
          <w:u w:val="single"/>
          <w:lang w:val="lt-LT"/>
        </w:rPr>
        <w:lastRenderedPageBreak/>
        <w:t>Žindymas</w:t>
      </w:r>
    </w:p>
    <w:p w:rsidR="00DE6781" w:rsidRDefault="00DE6781" w:rsidP="00DE6781">
      <w:pPr>
        <w:tabs>
          <w:tab w:val="clear" w:pos="567"/>
        </w:tabs>
        <w:spacing w:line="240" w:lineRule="auto"/>
        <w:rPr>
          <w:szCs w:val="22"/>
          <w:lang w:val="lt-LT"/>
        </w:rPr>
      </w:pPr>
      <w:r>
        <w:rPr>
          <w:szCs w:val="22"/>
          <w:lang w:val="lt-LT"/>
        </w:rPr>
        <w:t xml:space="preserve">Tobramicino išsiskiria į gydomų moterų pieną, kai jo vartojama sisteminiu būdu. Inhaliuojamojo tobramicino kiekis, kuris išsiskiria į gydomų moterų pieną, nežinomas; atsižvelgiant į nedidelę sisteminę ekspoziciją, manoma, kad jo išsiskiria labai mažai. Atsižvelgiant į </w:t>
      </w:r>
      <w:r>
        <w:rPr>
          <w:rFonts w:eastAsia="SimSun"/>
          <w:color w:val="000000"/>
          <w:szCs w:val="22"/>
          <w:lang w:val="lt-LT" w:eastAsia="zh-CN"/>
        </w:rPr>
        <w:t>gydymo naudą motinai</w:t>
      </w:r>
      <w:r>
        <w:rPr>
          <w:szCs w:val="22"/>
          <w:lang w:val="lt-LT"/>
        </w:rPr>
        <w:t xml:space="preserve"> bei galimą ototoksinį ir nefrotoksinį poveikį kūdikiams, </w:t>
      </w:r>
      <w:r>
        <w:rPr>
          <w:rFonts w:eastAsia="SimSun"/>
          <w:color w:val="000000"/>
          <w:szCs w:val="22"/>
          <w:lang w:val="lt-LT" w:eastAsia="zh-CN"/>
        </w:rPr>
        <w:t xml:space="preserve">reikia nuspręsti, ar nutraukti žindymą, ar nutraukti </w:t>
      </w:r>
      <w:r>
        <w:rPr>
          <w:szCs w:val="22"/>
          <w:lang w:val="lt-LT"/>
        </w:rPr>
        <w:t>TOBI Podhaler vartojimą.</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rPr>
          <w:szCs w:val="22"/>
          <w:u w:val="single"/>
          <w:lang w:val="lt-LT"/>
        </w:rPr>
      </w:pPr>
      <w:r>
        <w:rPr>
          <w:szCs w:val="22"/>
          <w:u w:val="single"/>
          <w:lang w:val="lt-LT"/>
        </w:rPr>
        <w:t>Vaisingumas</w:t>
      </w:r>
    </w:p>
    <w:p w:rsidR="00DE6781" w:rsidRDefault="00DE6781" w:rsidP="00DE6781">
      <w:pPr>
        <w:tabs>
          <w:tab w:val="clear" w:pos="567"/>
        </w:tabs>
        <w:spacing w:line="240" w:lineRule="auto"/>
        <w:rPr>
          <w:szCs w:val="22"/>
          <w:lang w:val="lt-LT"/>
        </w:rPr>
      </w:pPr>
      <w:r>
        <w:rPr>
          <w:szCs w:val="22"/>
          <w:lang w:val="lt-LT"/>
        </w:rPr>
        <w:t>Tyrimų su gyvūnais metu vaisto paskyrus po oda, poveikio patinų ir patelių vislumui nenustatyta (žr. 5.3 skyrių).</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b/>
          <w:szCs w:val="22"/>
          <w:lang w:val="lt-LT"/>
        </w:rPr>
      </w:pPr>
      <w:r>
        <w:rPr>
          <w:b/>
          <w:szCs w:val="22"/>
          <w:lang w:val="lt-LT"/>
        </w:rPr>
        <w:t>4.7</w:t>
      </w:r>
      <w:r>
        <w:rPr>
          <w:b/>
          <w:szCs w:val="22"/>
          <w:lang w:val="lt-LT"/>
        </w:rPr>
        <w:tab/>
        <w:t>Poveikis gebėjimui vairuoti ir valdyti mechanizmus</w:t>
      </w:r>
    </w:p>
    <w:p w:rsidR="00DE6781" w:rsidRDefault="00DE6781" w:rsidP="00DE6781">
      <w:pPr>
        <w:keepNext/>
        <w:widowControl w:val="0"/>
        <w:tabs>
          <w:tab w:val="clear" w:pos="567"/>
        </w:tabs>
        <w:spacing w:line="240" w:lineRule="auto"/>
        <w:ind w:left="567" w:hanging="567"/>
        <w:rPr>
          <w:szCs w:val="22"/>
          <w:lang w:val="lt-LT"/>
        </w:rPr>
      </w:pPr>
    </w:p>
    <w:p w:rsidR="00DE6781" w:rsidRDefault="00DE6781" w:rsidP="00DE6781">
      <w:pPr>
        <w:spacing w:line="240" w:lineRule="auto"/>
        <w:rPr>
          <w:szCs w:val="22"/>
          <w:lang w:val="lt-LT"/>
        </w:rPr>
      </w:pPr>
      <w:r>
        <w:rPr>
          <w:szCs w:val="22"/>
          <w:lang w:val="lt-LT"/>
        </w:rPr>
        <w:t>Remiantis farmakodinaminėmis savybėmis ir gautais pranešimais apie vaisto sukeltas nepageidaujamas reakcijas, nesitikima, kad TOBI Podhaler galėtų nepalankiai veikti gebėjimą vairuoti ir valdyti mechanizmus. Specifinių poveikio gebėjimui vairuoti ir valdyti mechanizmus tyrimų neatlikta.</w:t>
      </w:r>
    </w:p>
    <w:p w:rsidR="00DE6781" w:rsidRDefault="00DE6781" w:rsidP="00DE6781">
      <w:pPr>
        <w:spacing w:line="240" w:lineRule="auto"/>
        <w:rPr>
          <w:szCs w:val="22"/>
          <w:lang w:val="lt-LT"/>
        </w:rPr>
      </w:pPr>
    </w:p>
    <w:p w:rsidR="00DE6781" w:rsidRDefault="00DE6781" w:rsidP="00DE6781">
      <w:pPr>
        <w:keepNext/>
        <w:widowControl w:val="0"/>
        <w:tabs>
          <w:tab w:val="clear" w:pos="567"/>
        </w:tabs>
        <w:spacing w:line="240" w:lineRule="auto"/>
        <w:outlineLvl w:val="0"/>
        <w:rPr>
          <w:b/>
          <w:szCs w:val="22"/>
          <w:lang w:val="lt-LT"/>
        </w:rPr>
      </w:pPr>
      <w:r>
        <w:rPr>
          <w:b/>
          <w:szCs w:val="22"/>
          <w:lang w:val="lt-LT"/>
        </w:rPr>
        <w:t>4.8</w:t>
      </w:r>
      <w:r>
        <w:rPr>
          <w:b/>
          <w:szCs w:val="22"/>
          <w:lang w:val="lt-LT"/>
        </w:rPr>
        <w:tab/>
        <w:t>Nepageidaujamas poveikis</w:t>
      </w:r>
    </w:p>
    <w:p w:rsidR="00DE6781" w:rsidRDefault="00DE6781" w:rsidP="00DE6781">
      <w:pPr>
        <w:keepNext/>
        <w:widowControl w:val="0"/>
        <w:tabs>
          <w:tab w:val="clear" w:pos="567"/>
        </w:tabs>
        <w:spacing w:line="240" w:lineRule="auto"/>
        <w:ind w:left="567" w:hanging="567"/>
        <w:rPr>
          <w:szCs w:val="22"/>
          <w:lang w:val="lt-LT"/>
        </w:rPr>
      </w:pPr>
    </w:p>
    <w:p w:rsidR="00DE6781" w:rsidRDefault="00DE6781" w:rsidP="00DE6781">
      <w:pPr>
        <w:keepNext/>
        <w:spacing w:line="240" w:lineRule="auto"/>
        <w:rPr>
          <w:szCs w:val="22"/>
          <w:u w:val="single"/>
          <w:lang w:val="lt-LT"/>
        </w:rPr>
      </w:pPr>
      <w:r>
        <w:rPr>
          <w:szCs w:val="22"/>
          <w:u w:val="single"/>
          <w:lang w:val="lt-LT"/>
        </w:rPr>
        <w:t>Saugumo duomenų santrauka</w:t>
      </w:r>
    </w:p>
    <w:p w:rsidR="00DE6781" w:rsidRDefault="00DE6781" w:rsidP="00DE6781">
      <w:pPr>
        <w:spacing w:line="240" w:lineRule="auto"/>
        <w:rPr>
          <w:szCs w:val="22"/>
          <w:lang w:val="lt-LT"/>
        </w:rPr>
      </w:pPr>
      <w:r>
        <w:rPr>
          <w:szCs w:val="22"/>
          <w:lang w:val="lt-LT"/>
        </w:rPr>
        <w:t xml:space="preserve">Pagrindinio aktyviuoju preparatu kontroliuoto klinikinio tyrimo, kurio metu TOBI Podhaler poveikis buvo lyginamas su </w:t>
      </w:r>
      <w:r>
        <w:rPr>
          <w:noProof/>
          <w:szCs w:val="22"/>
          <w:lang w:val="lt-LT"/>
        </w:rPr>
        <w:t xml:space="preserve">tobramicino </w:t>
      </w:r>
      <w:r>
        <w:rPr>
          <w:szCs w:val="22"/>
          <w:lang w:val="lt-LT"/>
        </w:rPr>
        <w:t xml:space="preserve">purškiamojo tirpalo (TOBI) poveikiu, kai jo buvo skiriama cistine fibroze ir </w:t>
      </w:r>
      <w:r>
        <w:rPr>
          <w:i/>
          <w:szCs w:val="22"/>
          <w:lang w:val="lt-LT"/>
        </w:rPr>
        <w:t>P. aeruginosa</w:t>
      </w:r>
      <w:r>
        <w:rPr>
          <w:szCs w:val="22"/>
          <w:lang w:val="lt-LT"/>
        </w:rPr>
        <w:t xml:space="preserve"> infekcija sergantiems pacientams bei buvo vertinamas vaisto saugumas, duomenimis, dažniausiai pasireiškusios nepageidaujamos reakcijos buvo kosulys, plaučių funkcijos sutrikimas, produktyvus kosulys, karščiavimas, dusulys, burnos ertmės ir ryklės skausmas bei disfonija.</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Placebu kontroliuoto tyrimo metu pastebėtos nepageidaujamos reakcijos, kurios dažniau pasireiškė TOBI Podhaler vartojusiems pacientams nei placebo grupėje, buvo ryklės ir gerklų skausmas, skonio pojūčio sutrikimas ir disfonija.</w:t>
      </w:r>
    </w:p>
    <w:p w:rsidR="00DE6781" w:rsidRDefault="00DE6781" w:rsidP="00DE6781">
      <w:pPr>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Ilgalaikių TOBI Podhaler vartojimo saugumo duomenų nėra (taip pat žr. 4.4 ir 5.1 skyrius).</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Dauguma vartojant TOBI Podhaler pasireiškusių nepageidaujamų reakcijų buvo nesunkios ar vidutinio sunkumo; nenustatyta, kad jų sunkumas skirtųsi skirtingų gydymo ciklų metu ar lyginant visą tyrimo laikotarpį su tais laikotarpiais, kai buvo skiriamas gydymas.</w:t>
      </w:r>
    </w:p>
    <w:p w:rsidR="00DE6781" w:rsidRDefault="00DE6781" w:rsidP="00DE6781">
      <w:pPr>
        <w:spacing w:line="240" w:lineRule="auto"/>
        <w:rPr>
          <w:szCs w:val="22"/>
          <w:u w:val="single"/>
          <w:lang w:val="lt-LT"/>
        </w:rPr>
      </w:pPr>
    </w:p>
    <w:p w:rsidR="00DE6781" w:rsidRDefault="00DE6781" w:rsidP="00DE6781">
      <w:pPr>
        <w:keepNext/>
        <w:spacing w:line="240" w:lineRule="auto"/>
        <w:rPr>
          <w:szCs w:val="22"/>
          <w:u w:val="single"/>
          <w:lang w:val="lt-LT"/>
        </w:rPr>
      </w:pPr>
      <w:r>
        <w:rPr>
          <w:szCs w:val="22"/>
          <w:u w:val="single"/>
          <w:lang w:val="lt-LT"/>
        </w:rPr>
        <w:t>Informacijos apie nepageidaujamas reakcijas santrauka lentelėje</w:t>
      </w:r>
    </w:p>
    <w:p w:rsidR="00DE6781" w:rsidRDefault="00DE6781" w:rsidP="00DE6781">
      <w:pPr>
        <w:spacing w:line="240" w:lineRule="auto"/>
        <w:rPr>
          <w:szCs w:val="22"/>
          <w:lang w:val="lt-LT"/>
        </w:rPr>
      </w:pPr>
      <w:r>
        <w:rPr>
          <w:szCs w:val="22"/>
          <w:lang w:val="lt-LT"/>
        </w:rPr>
        <w:t xml:space="preserve">Dviejų III fazės kontroliuotų klinikinių tyrimų metu gydymas TOBI Podhaler (vartojant du kartus per parą) buvo skirtas 395 cistine fibroze ir </w:t>
      </w:r>
      <w:r>
        <w:rPr>
          <w:i/>
          <w:szCs w:val="22"/>
          <w:lang w:val="lt-LT"/>
        </w:rPr>
        <w:t>P. aeruginosa</w:t>
      </w:r>
      <w:r>
        <w:rPr>
          <w:szCs w:val="22"/>
          <w:lang w:val="lt-LT"/>
        </w:rPr>
        <w:t xml:space="preserve"> infekcija sergantiems pacientams: 308 pacientai dalyvavo pagrindiniame aktyviuoju preparatu kontroliuotame klinikiniame tyrime, kurio metu buvo vertinamas vaisto saugumas (kaip palyginamojo preparato skiriant </w:t>
      </w:r>
      <w:r>
        <w:rPr>
          <w:noProof/>
          <w:szCs w:val="22"/>
          <w:lang w:val="lt-LT"/>
        </w:rPr>
        <w:t>tobramicino</w:t>
      </w:r>
      <w:r>
        <w:rPr>
          <w:szCs w:val="22"/>
          <w:lang w:val="lt-LT"/>
        </w:rPr>
        <w:t xml:space="preserve"> 300 mg/5 ml purškiamojo tirpalo (TOBI)), o 87 pacientai – placebu kontroliuotame vaisto veiksmingumo tyrime. Iš visų 395 pacientų, 68 pacientų amžius buvo tarp 6 ir 12 metų, 108 – tarp 13 ir 19 metų, o 219 pacientų buvo 20 metų ar vyresni.</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Šių tyrimų metu TOBI Podhaler vartojusių pacientų grupėje vaisto buvo skiriama 3 gydymo ciklus (24 savaites). Vieną ciklą sudaro 28 dienų laikotarpis, kai skiriamas gydymas, ir vėliau 28 dienos, kai vaisto nevartojama.</w:t>
      </w:r>
    </w:p>
    <w:p w:rsidR="00DE6781" w:rsidRDefault="00DE6781" w:rsidP="00DE6781">
      <w:pPr>
        <w:spacing w:line="240" w:lineRule="auto"/>
        <w:rPr>
          <w:szCs w:val="22"/>
          <w:lang w:val="lt-LT"/>
        </w:rPr>
      </w:pPr>
    </w:p>
    <w:p w:rsidR="00DE6781" w:rsidRDefault="00DE6781" w:rsidP="00DE6781">
      <w:pPr>
        <w:rPr>
          <w:szCs w:val="22"/>
          <w:lang w:val="lt-LT"/>
        </w:rPr>
      </w:pPr>
      <w:r>
        <w:rPr>
          <w:szCs w:val="22"/>
          <w:lang w:val="lt-LT"/>
        </w:rPr>
        <w:t xml:space="preserve">1 lentelėje išvardytos vaisto sukeltos nepageidaujamos reakcijos nurodytos pagal organų sistemų klases ir MedDRA klasifikaciją. Kiekvienoje organų sistemų klasėje nepageidaujamos reakcijos pateikiamos pagal jų pasireiškimo dažnį, iš pradžių nurodant dažniausias. Kiekvienoje dažnio grupėje nepageidaujamos reakcijos pateikiamas mažėjančio sunkumo tvarka. Be to, kiekvienos nepageidaujamos reakcijos dažnio kategorija nurodyta naudojant tokius nepageidaujamo poveikio dažnių apibūdinimus (CIOMS III): labai dažni (≥1/10); </w:t>
      </w:r>
      <w:r>
        <w:rPr>
          <w:szCs w:val="22"/>
          <w:lang w:val="lt-LT"/>
        </w:rPr>
        <w:lastRenderedPageBreak/>
        <w:t>dažni (nuo ≥1/100 iki &lt;1/10); nedažni (nuo ≥1/1 000 iki &lt;1/100); reti (nuo ≥1/10 000 iki &lt;1/1 000); labai reti (&lt;1/10 000); dažnis nežinomas (</w:t>
      </w:r>
      <w:r>
        <w:rPr>
          <w:lang w:val="lt-LT"/>
        </w:rPr>
        <w:t>negali būti įvertintas pagal turimus duomenis</w:t>
      </w:r>
      <w:r>
        <w:rPr>
          <w:szCs w:val="22"/>
          <w:lang w:val="lt-LT"/>
        </w:rPr>
        <w:t>).</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1 lentelėje nurodytų nepageidaujamų reakcijų dažnis pagrįstas jų pranešimų dažniu aktyviuoju preparatu kontroliuoto tyrimo metu.</w:t>
      </w:r>
    </w:p>
    <w:p w:rsidR="00DE6781" w:rsidRDefault="00DE6781" w:rsidP="00DE6781">
      <w:pPr>
        <w:spacing w:line="240" w:lineRule="auto"/>
        <w:rPr>
          <w:szCs w:val="22"/>
          <w:lang w:val="lt-LT"/>
        </w:rPr>
      </w:pPr>
    </w:p>
    <w:p w:rsidR="00DE6781" w:rsidRDefault="00DE6781" w:rsidP="00DE6781">
      <w:pPr>
        <w:keepNext/>
        <w:tabs>
          <w:tab w:val="clear" w:pos="567"/>
          <w:tab w:val="left" w:pos="1134"/>
        </w:tabs>
        <w:spacing w:line="240" w:lineRule="auto"/>
        <w:rPr>
          <w:b/>
          <w:bCs/>
          <w:szCs w:val="22"/>
          <w:lang w:val="lt-LT"/>
        </w:rPr>
      </w:pPr>
      <w:r>
        <w:rPr>
          <w:b/>
          <w:bCs/>
          <w:szCs w:val="22"/>
          <w:lang w:val="lt-LT"/>
        </w:rPr>
        <w:t>1 lentelė.</w:t>
      </w:r>
      <w:r>
        <w:rPr>
          <w:b/>
          <w:bCs/>
          <w:szCs w:val="22"/>
          <w:lang w:val="lt-LT"/>
        </w:rPr>
        <w:tab/>
        <w:t>Nepageidaujamos reakcijos.</w:t>
      </w:r>
    </w:p>
    <w:p w:rsidR="00DE6781" w:rsidRDefault="00DE6781" w:rsidP="00DE6781">
      <w:pPr>
        <w:keepNext/>
        <w:spacing w:line="240" w:lineRule="auto"/>
        <w:rPr>
          <w:szCs w:val="22"/>
          <w:lang w:val="lt-LT"/>
        </w:rPr>
      </w:pPr>
    </w:p>
    <w:tbl>
      <w:tblPr>
        <w:tblW w:w="9224" w:type="dxa"/>
        <w:tblInd w:w="98" w:type="dxa"/>
        <w:tblLayout w:type="fixed"/>
        <w:tblLook w:val="0000" w:firstRow="0" w:lastRow="0" w:firstColumn="0" w:lastColumn="0" w:noHBand="0" w:noVBand="0"/>
      </w:tblPr>
      <w:tblGrid>
        <w:gridCol w:w="6814"/>
        <w:gridCol w:w="2410"/>
      </w:tblGrid>
      <w:tr w:rsidR="00DE6781" w:rsidTr="000B450E">
        <w:trPr>
          <w:trHeight w:val="495"/>
        </w:trPr>
        <w:tc>
          <w:tcPr>
            <w:tcW w:w="6814" w:type="dxa"/>
            <w:tcBorders>
              <w:top w:val="single" w:sz="4" w:space="0" w:color="auto"/>
              <w:bottom w:val="single" w:sz="4" w:space="0" w:color="auto"/>
            </w:tcBorders>
            <w:shd w:val="clear" w:color="auto" w:fill="auto"/>
          </w:tcPr>
          <w:p w:rsidR="00DE6781" w:rsidRDefault="00DE6781" w:rsidP="000B450E">
            <w:pPr>
              <w:keepNext/>
              <w:spacing w:line="240" w:lineRule="auto"/>
              <w:rPr>
                <w:b/>
                <w:szCs w:val="22"/>
                <w:lang w:val="lt-LT"/>
              </w:rPr>
            </w:pPr>
            <w:r>
              <w:rPr>
                <w:b/>
                <w:szCs w:val="22"/>
                <w:lang w:val="lt-LT"/>
              </w:rPr>
              <w:t>Nepageidaujamos reakcijos</w:t>
            </w:r>
          </w:p>
        </w:tc>
        <w:tc>
          <w:tcPr>
            <w:tcW w:w="2410" w:type="dxa"/>
            <w:tcBorders>
              <w:top w:val="single" w:sz="4" w:space="0" w:color="auto"/>
              <w:bottom w:val="single" w:sz="4" w:space="0" w:color="auto"/>
            </w:tcBorders>
            <w:shd w:val="clear" w:color="auto" w:fill="auto"/>
          </w:tcPr>
          <w:p w:rsidR="00DE6781" w:rsidRDefault="00DE6781" w:rsidP="000B450E">
            <w:pPr>
              <w:keepNext/>
              <w:spacing w:line="240" w:lineRule="auto"/>
              <w:rPr>
                <w:b/>
                <w:bCs/>
                <w:szCs w:val="22"/>
                <w:lang w:val="lt-LT"/>
              </w:rPr>
            </w:pPr>
            <w:r>
              <w:rPr>
                <w:b/>
                <w:bCs/>
                <w:szCs w:val="22"/>
                <w:lang w:val="lt-LT"/>
              </w:rPr>
              <w:t>Dažnio kategorija</w:t>
            </w:r>
          </w:p>
        </w:tc>
      </w:tr>
      <w:tr w:rsidR="00DE6781" w:rsidTr="000B450E">
        <w:trPr>
          <w:trHeight w:val="270"/>
        </w:trPr>
        <w:tc>
          <w:tcPr>
            <w:tcW w:w="9224" w:type="dxa"/>
            <w:gridSpan w:val="2"/>
            <w:shd w:val="clear" w:color="auto" w:fill="auto"/>
          </w:tcPr>
          <w:p w:rsidR="00DE6781" w:rsidRDefault="00DE6781" w:rsidP="000B450E">
            <w:pPr>
              <w:keepNext/>
              <w:tabs>
                <w:tab w:val="left" w:pos="6833"/>
              </w:tabs>
              <w:spacing w:line="240" w:lineRule="auto"/>
              <w:rPr>
                <w:szCs w:val="22"/>
                <w:lang w:val="lt-LT"/>
              </w:rPr>
            </w:pPr>
            <w:r>
              <w:rPr>
                <w:b/>
                <w:szCs w:val="22"/>
                <w:lang w:val="lt-LT"/>
              </w:rPr>
              <w:t>Ausų ir labirintų sutrikimai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Klausos netekimas</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Spengimas ausyse</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9224" w:type="dxa"/>
            <w:gridSpan w:val="2"/>
            <w:shd w:val="clear" w:color="auto" w:fill="auto"/>
          </w:tcPr>
          <w:p w:rsidR="00DE6781" w:rsidRDefault="00DE6781" w:rsidP="000B450E">
            <w:pPr>
              <w:keepNext/>
              <w:spacing w:line="240" w:lineRule="auto"/>
              <w:rPr>
                <w:b/>
                <w:szCs w:val="22"/>
                <w:lang w:val="lt-LT"/>
              </w:rPr>
            </w:pPr>
            <w:r>
              <w:rPr>
                <w:b/>
                <w:szCs w:val="22"/>
                <w:lang w:val="lt-LT"/>
              </w:rPr>
              <w:t>Kraujagyslių sutrikimai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Atsikosėjimas krauju</w:t>
            </w:r>
          </w:p>
        </w:tc>
        <w:tc>
          <w:tcPr>
            <w:tcW w:w="2410" w:type="dxa"/>
            <w:shd w:val="clear" w:color="auto" w:fill="auto"/>
          </w:tcPr>
          <w:p w:rsidR="00DE6781" w:rsidRDefault="00DE6781" w:rsidP="000B450E">
            <w:pPr>
              <w:keepNext/>
              <w:spacing w:line="240" w:lineRule="auto"/>
              <w:rPr>
                <w:szCs w:val="22"/>
                <w:lang w:val="lt-LT"/>
              </w:rPr>
            </w:pPr>
            <w:r>
              <w:rPr>
                <w:szCs w:val="22"/>
                <w:lang w:val="lt-LT"/>
              </w:rPr>
              <w:t>Labai dažni</w:t>
            </w:r>
          </w:p>
        </w:tc>
      </w:tr>
      <w:tr w:rsidR="00DE6781" w:rsidTr="000B450E">
        <w:trPr>
          <w:trHeight w:val="270"/>
        </w:trPr>
        <w:tc>
          <w:tcPr>
            <w:tcW w:w="6814" w:type="dxa"/>
            <w:shd w:val="clear" w:color="auto" w:fill="auto"/>
          </w:tcPr>
          <w:p w:rsidR="00DE6781" w:rsidRDefault="00DE6781" w:rsidP="000B450E">
            <w:pPr>
              <w:spacing w:line="240" w:lineRule="auto"/>
              <w:rPr>
                <w:szCs w:val="22"/>
                <w:lang w:val="lt-LT"/>
              </w:rPr>
            </w:pPr>
            <w:r>
              <w:rPr>
                <w:szCs w:val="22"/>
                <w:lang w:val="lt-LT"/>
              </w:rPr>
              <w:t>Kraujavimas iš nosies</w:t>
            </w:r>
          </w:p>
        </w:tc>
        <w:tc>
          <w:tcPr>
            <w:tcW w:w="2410" w:type="dxa"/>
            <w:shd w:val="clear" w:color="auto" w:fill="auto"/>
          </w:tcPr>
          <w:p w:rsidR="00DE6781" w:rsidRDefault="00DE6781" w:rsidP="000B450E">
            <w:pPr>
              <w:spacing w:line="240" w:lineRule="auto"/>
              <w:rPr>
                <w:szCs w:val="22"/>
                <w:lang w:val="lt-LT"/>
              </w:rPr>
            </w:pPr>
            <w:r>
              <w:rPr>
                <w:szCs w:val="22"/>
                <w:lang w:val="lt-LT"/>
              </w:rPr>
              <w:t>Dažni</w:t>
            </w:r>
          </w:p>
        </w:tc>
      </w:tr>
      <w:tr w:rsidR="00DE6781" w:rsidTr="000B450E">
        <w:trPr>
          <w:trHeight w:val="270"/>
        </w:trPr>
        <w:tc>
          <w:tcPr>
            <w:tcW w:w="9224" w:type="dxa"/>
            <w:gridSpan w:val="2"/>
            <w:shd w:val="clear" w:color="auto" w:fill="auto"/>
          </w:tcPr>
          <w:p w:rsidR="00DE6781" w:rsidRDefault="00DE6781" w:rsidP="000B450E">
            <w:pPr>
              <w:keepNext/>
              <w:spacing w:line="240" w:lineRule="auto"/>
              <w:rPr>
                <w:b/>
                <w:szCs w:val="22"/>
                <w:lang w:val="lt-LT"/>
              </w:rPr>
            </w:pPr>
            <w:r>
              <w:rPr>
                <w:b/>
                <w:szCs w:val="22"/>
                <w:lang w:val="lt-LT"/>
              </w:rPr>
              <w:t>Kvėpavimo sistemos, krūtinės ląstos ir tarpuplaučio sutrikimai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Dusulys</w:t>
            </w:r>
          </w:p>
        </w:tc>
        <w:tc>
          <w:tcPr>
            <w:tcW w:w="2410" w:type="dxa"/>
            <w:shd w:val="clear" w:color="auto" w:fill="auto"/>
          </w:tcPr>
          <w:p w:rsidR="00DE6781" w:rsidRDefault="00DE6781" w:rsidP="000B450E">
            <w:pPr>
              <w:keepNext/>
              <w:spacing w:line="240" w:lineRule="auto"/>
              <w:rPr>
                <w:szCs w:val="22"/>
                <w:lang w:val="lt-LT"/>
              </w:rPr>
            </w:pPr>
            <w:r>
              <w:rPr>
                <w:szCs w:val="22"/>
                <w:lang w:val="lt-LT"/>
              </w:rPr>
              <w:t>Labai 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Disfonija</w:t>
            </w:r>
          </w:p>
        </w:tc>
        <w:tc>
          <w:tcPr>
            <w:tcW w:w="2410" w:type="dxa"/>
            <w:shd w:val="clear" w:color="auto" w:fill="auto"/>
          </w:tcPr>
          <w:p w:rsidR="00DE6781" w:rsidRDefault="00DE6781" w:rsidP="000B450E">
            <w:pPr>
              <w:keepNext/>
              <w:spacing w:line="240" w:lineRule="auto"/>
              <w:rPr>
                <w:szCs w:val="22"/>
                <w:lang w:val="lt-LT"/>
              </w:rPr>
            </w:pPr>
            <w:r>
              <w:rPr>
                <w:szCs w:val="22"/>
                <w:lang w:val="lt-LT"/>
              </w:rPr>
              <w:t>Labai 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Produktyvus kosulys</w:t>
            </w:r>
          </w:p>
        </w:tc>
        <w:tc>
          <w:tcPr>
            <w:tcW w:w="2410" w:type="dxa"/>
            <w:shd w:val="clear" w:color="auto" w:fill="auto"/>
          </w:tcPr>
          <w:p w:rsidR="00DE6781" w:rsidRDefault="00DE6781" w:rsidP="000B450E">
            <w:pPr>
              <w:keepNext/>
              <w:spacing w:line="240" w:lineRule="auto"/>
              <w:rPr>
                <w:szCs w:val="22"/>
                <w:lang w:val="lt-LT"/>
              </w:rPr>
            </w:pPr>
            <w:r>
              <w:rPr>
                <w:szCs w:val="22"/>
                <w:lang w:val="lt-LT"/>
              </w:rPr>
              <w:t>Labai 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Kosulys</w:t>
            </w:r>
          </w:p>
        </w:tc>
        <w:tc>
          <w:tcPr>
            <w:tcW w:w="2410" w:type="dxa"/>
            <w:shd w:val="clear" w:color="auto" w:fill="auto"/>
          </w:tcPr>
          <w:p w:rsidR="00DE6781" w:rsidRDefault="00DE6781" w:rsidP="000B450E">
            <w:pPr>
              <w:keepNext/>
              <w:spacing w:line="240" w:lineRule="auto"/>
              <w:rPr>
                <w:szCs w:val="22"/>
                <w:lang w:val="lt-LT"/>
              </w:rPr>
            </w:pPr>
            <w:r>
              <w:rPr>
                <w:szCs w:val="22"/>
                <w:lang w:val="lt-LT"/>
              </w:rPr>
              <w:t>Labai 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Švokštimas</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Karkalai</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Nemalonus pojūtis krūtinės ląstoje</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spacing w:line="240" w:lineRule="auto"/>
              <w:rPr>
                <w:szCs w:val="22"/>
                <w:lang w:val="lt-LT"/>
              </w:rPr>
            </w:pPr>
            <w:r>
              <w:rPr>
                <w:szCs w:val="22"/>
                <w:lang w:val="lt-LT"/>
              </w:rPr>
              <w:t>Nosies užgulimas</w:t>
            </w:r>
          </w:p>
        </w:tc>
        <w:tc>
          <w:tcPr>
            <w:tcW w:w="2410" w:type="dxa"/>
            <w:shd w:val="clear" w:color="auto" w:fill="auto"/>
          </w:tcPr>
          <w:p w:rsidR="00DE6781" w:rsidRDefault="00DE6781" w:rsidP="000B450E">
            <w:pPr>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spacing w:line="240" w:lineRule="auto"/>
              <w:rPr>
                <w:szCs w:val="22"/>
                <w:lang w:val="lt-LT"/>
              </w:rPr>
            </w:pPr>
            <w:r>
              <w:rPr>
                <w:szCs w:val="22"/>
                <w:lang w:val="lt-LT"/>
              </w:rPr>
              <w:t>Bronchų spazmas</w:t>
            </w:r>
          </w:p>
        </w:tc>
        <w:tc>
          <w:tcPr>
            <w:tcW w:w="2410" w:type="dxa"/>
            <w:shd w:val="clear" w:color="auto" w:fill="auto"/>
          </w:tcPr>
          <w:p w:rsidR="00DE6781" w:rsidRDefault="00DE6781" w:rsidP="000B450E">
            <w:pPr>
              <w:spacing w:line="240" w:lineRule="auto"/>
              <w:rPr>
                <w:szCs w:val="22"/>
                <w:lang w:val="lt-LT"/>
              </w:rPr>
            </w:pPr>
            <w:r>
              <w:rPr>
                <w:szCs w:val="22"/>
                <w:lang w:val="lt-LT"/>
              </w:rPr>
              <w:t>Dažni</w:t>
            </w:r>
          </w:p>
        </w:tc>
      </w:tr>
      <w:tr w:rsidR="00DE6781" w:rsidTr="000B450E">
        <w:trPr>
          <w:trHeight w:val="270"/>
        </w:trPr>
        <w:tc>
          <w:tcPr>
            <w:tcW w:w="9224" w:type="dxa"/>
            <w:gridSpan w:val="2"/>
            <w:shd w:val="clear" w:color="auto" w:fill="auto"/>
          </w:tcPr>
          <w:p w:rsidR="00DE6781" w:rsidRDefault="00DE6781" w:rsidP="000B450E">
            <w:pPr>
              <w:keepNext/>
              <w:spacing w:line="240" w:lineRule="auto"/>
              <w:rPr>
                <w:b/>
                <w:szCs w:val="22"/>
                <w:lang w:val="lt-LT"/>
              </w:rPr>
            </w:pPr>
            <w:r>
              <w:rPr>
                <w:b/>
                <w:szCs w:val="22"/>
                <w:lang w:val="lt-LT"/>
              </w:rPr>
              <w:t>Virškinimo trakto sutrikimai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Burnos ertmės ir ryklės skausmas</w:t>
            </w:r>
          </w:p>
        </w:tc>
        <w:tc>
          <w:tcPr>
            <w:tcW w:w="2410" w:type="dxa"/>
            <w:shd w:val="clear" w:color="auto" w:fill="auto"/>
          </w:tcPr>
          <w:p w:rsidR="00DE6781" w:rsidRDefault="00DE6781" w:rsidP="000B450E">
            <w:pPr>
              <w:keepNext/>
              <w:spacing w:line="240" w:lineRule="auto"/>
              <w:rPr>
                <w:szCs w:val="22"/>
                <w:lang w:val="lt-LT"/>
              </w:rPr>
            </w:pPr>
            <w:r>
              <w:rPr>
                <w:szCs w:val="22"/>
                <w:lang w:val="lt-LT"/>
              </w:rPr>
              <w:t>Labai 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Vėmimas</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Viduriavimas</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Gerklės sudirginimas</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szCs w:val="22"/>
                <w:lang w:val="lt-LT"/>
              </w:rPr>
              <w:t>Pykinimas</w:t>
            </w:r>
          </w:p>
        </w:tc>
        <w:tc>
          <w:tcPr>
            <w:tcW w:w="2410" w:type="dxa"/>
            <w:shd w:val="clear" w:color="auto" w:fill="auto"/>
          </w:tcPr>
          <w:p w:rsidR="00DE6781" w:rsidRDefault="00DE6781" w:rsidP="000B450E">
            <w:pPr>
              <w:keepNext/>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spacing w:line="240" w:lineRule="auto"/>
              <w:rPr>
                <w:szCs w:val="22"/>
                <w:lang w:val="lt-LT"/>
              </w:rPr>
            </w:pPr>
            <w:r>
              <w:rPr>
                <w:szCs w:val="22"/>
                <w:lang w:val="lt-LT"/>
              </w:rPr>
              <w:t>Skonio pojūčio sutrikimas</w:t>
            </w:r>
          </w:p>
        </w:tc>
        <w:tc>
          <w:tcPr>
            <w:tcW w:w="2410" w:type="dxa"/>
            <w:shd w:val="clear" w:color="auto" w:fill="auto"/>
          </w:tcPr>
          <w:p w:rsidR="00DE6781" w:rsidRDefault="00DE6781" w:rsidP="000B450E">
            <w:pPr>
              <w:spacing w:line="240" w:lineRule="auto"/>
              <w:rPr>
                <w:szCs w:val="22"/>
                <w:lang w:val="lt-LT"/>
              </w:rPr>
            </w:pPr>
            <w:r>
              <w:rPr>
                <w:szCs w:val="22"/>
                <w:lang w:val="lt-LT"/>
              </w:rPr>
              <w:t>Dažni</w:t>
            </w:r>
          </w:p>
        </w:tc>
      </w:tr>
      <w:tr w:rsidR="00DE6781" w:rsidTr="000B450E">
        <w:trPr>
          <w:trHeight w:val="270"/>
        </w:trPr>
        <w:tc>
          <w:tcPr>
            <w:tcW w:w="9224" w:type="dxa"/>
            <w:gridSpan w:val="2"/>
            <w:shd w:val="clear" w:color="auto" w:fill="auto"/>
          </w:tcPr>
          <w:p w:rsidR="00DE6781" w:rsidRDefault="00DE6781" w:rsidP="000B450E">
            <w:pPr>
              <w:keepNext/>
              <w:spacing w:line="240" w:lineRule="auto"/>
              <w:rPr>
                <w:b/>
                <w:szCs w:val="22"/>
                <w:lang w:val="lt-LT"/>
              </w:rPr>
            </w:pPr>
            <w:r>
              <w:rPr>
                <w:b/>
                <w:szCs w:val="22"/>
                <w:lang w:val="lt-LT"/>
              </w:rPr>
              <w:t>Odos ir poodinio audinio sutrikimai</w:t>
            </w:r>
          </w:p>
        </w:tc>
      </w:tr>
      <w:tr w:rsidR="00DE6781" w:rsidTr="000B450E">
        <w:trPr>
          <w:trHeight w:val="270"/>
        </w:trPr>
        <w:tc>
          <w:tcPr>
            <w:tcW w:w="6814" w:type="dxa"/>
            <w:shd w:val="clear" w:color="auto" w:fill="auto"/>
          </w:tcPr>
          <w:p w:rsidR="00DE6781" w:rsidRDefault="00DE6781" w:rsidP="000B450E">
            <w:pPr>
              <w:spacing w:line="240" w:lineRule="auto"/>
              <w:rPr>
                <w:szCs w:val="22"/>
                <w:lang w:val="lt-LT"/>
              </w:rPr>
            </w:pPr>
            <w:r>
              <w:rPr>
                <w:szCs w:val="22"/>
                <w:lang w:val="lt-LT"/>
              </w:rPr>
              <w:t>Bėrimas</w:t>
            </w:r>
          </w:p>
        </w:tc>
        <w:tc>
          <w:tcPr>
            <w:tcW w:w="2410" w:type="dxa"/>
            <w:shd w:val="clear" w:color="auto" w:fill="auto"/>
          </w:tcPr>
          <w:p w:rsidR="00DE6781" w:rsidRDefault="00DE6781" w:rsidP="000B450E">
            <w:pPr>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b/>
                <w:szCs w:val="22"/>
                <w:lang w:val="lt-LT"/>
              </w:rPr>
              <w:t>Skeleto, raumenų, jungiamojo audinio ir kaulų sutrikimai</w:t>
            </w:r>
          </w:p>
        </w:tc>
        <w:tc>
          <w:tcPr>
            <w:tcW w:w="2410" w:type="dxa"/>
            <w:shd w:val="clear" w:color="auto" w:fill="auto"/>
          </w:tcPr>
          <w:p w:rsidR="00DE6781" w:rsidRDefault="00DE6781" w:rsidP="000B450E">
            <w:pPr>
              <w:keepNext/>
              <w:spacing w:line="240" w:lineRule="auto"/>
              <w:rPr>
                <w:szCs w:val="22"/>
                <w:lang w:val="lt-LT"/>
              </w:rPr>
            </w:pPr>
          </w:p>
        </w:tc>
      </w:tr>
      <w:tr w:rsidR="00DE6781" w:rsidTr="000B450E">
        <w:trPr>
          <w:trHeight w:val="270"/>
        </w:trPr>
        <w:tc>
          <w:tcPr>
            <w:tcW w:w="6814" w:type="dxa"/>
            <w:shd w:val="clear" w:color="auto" w:fill="auto"/>
          </w:tcPr>
          <w:p w:rsidR="00DE6781" w:rsidRDefault="00DE6781" w:rsidP="000B450E">
            <w:pPr>
              <w:spacing w:line="240" w:lineRule="auto"/>
              <w:rPr>
                <w:szCs w:val="22"/>
                <w:lang w:val="lt-LT"/>
              </w:rPr>
            </w:pPr>
            <w:r>
              <w:rPr>
                <w:szCs w:val="22"/>
                <w:lang w:val="lt-LT"/>
              </w:rPr>
              <w:t>Krūtinės ląstos skeleto ir raumenų skausmas</w:t>
            </w:r>
          </w:p>
        </w:tc>
        <w:tc>
          <w:tcPr>
            <w:tcW w:w="2410" w:type="dxa"/>
            <w:shd w:val="clear" w:color="auto" w:fill="auto"/>
          </w:tcPr>
          <w:p w:rsidR="00DE6781" w:rsidRDefault="00DE6781" w:rsidP="000B450E">
            <w:pPr>
              <w:spacing w:line="240" w:lineRule="auto"/>
              <w:rPr>
                <w:szCs w:val="22"/>
                <w:lang w:val="lt-LT"/>
              </w:rPr>
            </w:pPr>
            <w:r>
              <w:rPr>
                <w:szCs w:val="22"/>
                <w:lang w:val="lt-LT"/>
              </w:rPr>
              <w:t>Dažni</w:t>
            </w:r>
          </w:p>
        </w:tc>
      </w:tr>
      <w:tr w:rsidR="00DE6781" w:rsidTr="000B450E">
        <w:trPr>
          <w:trHeight w:val="270"/>
        </w:trPr>
        <w:tc>
          <w:tcPr>
            <w:tcW w:w="6814" w:type="dxa"/>
            <w:shd w:val="clear" w:color="auto" w:fill="auto"/>
          </w:tcPr>
          <w:p w:rsidR="00DE6781" w:rsidRDefault="00DE6781" w:rsidP="000B450E">
            <w:pPr>
              <w:keepNext/>
              <w:spacing w:line="240" w:lineRule="auto"/>
              <w:rPr>
                <w:szCs w:val="22"/>
                <w:lang w:val="lt-LT"/>
              </w:rPr>
            </w:pPr>
            <w:r>
              <w:rPr>
                <w:b/>
                <w:szCs w:val="22"/>
                <w:lang w:val="lt-LT"/>
              </w:rPr>
              <w:t>Bendrieji sutrikimai ir vartojimo vietos pažeidimai</w:t>
            </w:r>
          </w:p>
        </w:tc>
        <w:tc>
          <w:tcPr>
            <w:tcW w:w="2410" w:type="dxa"/>
            <w:shd w:val="clear" w:color="auto" w:fill="auto"/>
          </w:tcPr>
          <w:p w:rsidR="00DE6781" w:rsidRDefault="00DE6781" w:rsidP="000B450E">
            <w:pPr>
              <w:keepNext/>
              <w:spacing w:line="240" w:lineRule="auto"/>
              <w:rPr>
                <w:szCs w:val="22"/>
                <w:lang w:val="lt-LT"/>
              </w:rPr>
            </w:pPr>
          </w:p>
        </w:tc>
      </w:tr>
      <w:tr w:rsidR="00DE6781" w:rsidTr="000B450E">
        <w:trPr>
          <w:trHeight w:val="270"/>
        </w:trPr>
        <w:tc>
          <w:tcPr>
            <w:tcW w:w="6814" w:type="dxa"/>
            <w:shd w:val="clear" w:color="auto" w:fill="auto"/>
          </w:tcPr>
          <w:p w:rsidR="00DE6781" w:rsidRDefault="00DE6781" w:rsidP="000B450E">
            <w:pPr>
              <w:spacing w:line="240" w:lineRule="auto"/>
              <w:rPr>
                <w:szCs w:val="22"/>
                <w:lang w:val="lt-LT"/>
              </w:rPr>
            </w:pPr>
            <w:r>
              <w:rPr>
                <w:szCs w:val="22"/>
                <w:lang w:val="lt-LT"/>
              </w:rPr>
              <w:t>Karščiavimas</w:t>
            </w:r>
          </w:p>
        </w:tc>
        <w:tc>
          <w:tcPr>
            <w:tcW w:w="2410" w:type="dxa"/>
            <w:shd w:val="clear" w:color="auto" w:fill="auto"/>
          </w:tcPr>
          <w:p w:rsidR="00DE6781" w:rsidRDefault="00DE6781" w:rsidP="000B450E">
            <w:pPr>
              <w:spacing w:line="240" w:lineRule="auto"/>
              <w:rPr>
                <w:szCs w:val="22"/>
                <w:lang w:val="lt-LT"/>
              </w:rPr>
            </w:pPr>
            <w:r>
              <w:rPr>
                <w:szCs w:val="22"/>
                <w:lang w:val="lt-LT"/>
              </w:rPr>
              <w:t>Labai dažni</w:t>
            </w:r>
          </w:p>
        </w:tc>
      </w:tr>
    </w:tbl>
    <w:p w:rsidR="00DE6781" w:rsidRDefault="00DE6781" w:rsidP="00DE6781">
      <w:pPr>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t>Kai kurių nepageidaujamų reakcijų apibūdinimas</w:t>
      </w:r>
    </w:p>
    <w:p w:rsidR="00DE6781" w:rsidRDefault="00DE6781" w:rsidP="00DE6781">
      <w:pPr>
        <w:spacing w:line="240" w:lineRule="auto"/>
        <w:rPr>
          <w:szCs w:val="22"/>
          <w:lang w:val="lt-LT"/>
        </w:rPr>
      </w:pPr>
      <w:r>
        <w:rPr>
          <w:szCs w:val="22"/>
          <w:lang w:val="lt-LT"/>
        </w:rPr>
        <w:t>Abiejų klinikinių tyrimų metu kosulys buvo dažniausiai pasireiškusi nepageidaujama reakcija. Tačiau nė vieno klinikinio tyrimo metu nenustatyta ryšio tarp bronchų spazmo ir kosulio pasireiškimo atvejų.</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Aktyviuoju preparatu kontroliuoto tyrimo metu audiologiniai tyrimai buvo atliekami pasirinktuose tyrimo centruose, jų buvo atlikta maždaug ketvirtadaliui tyrime dalyvavusių pacientų. Keturiems TOBI Podhaler</w:t>
      </w:r>
      <w:r>
        <w:rPr>
          <w:i/>
          <w:szCs w:val="22"/>
          <w:lang w:val="lt-LT"/>
        </w:rPr>
        <w:t xml:space="preserve"> </w:t>
      </w:r>
      <w:r>
        <w:rPr>
          <w:szCs w:val="22"/>
          <w:lang w:val="lt-LT"/>
        </w:rPr>
        <w:t>vartojusiųjų grupės pacientams reikšmingai susilpnėjo klausa, trims pacientams šis sutrikimas buvo laikinas, o vienu atveju – išliko nuolatiniu.</w:t>
      </w:r>
    </w:p>
    <w:p w:rsidR="00DE6781" w:rsidRDefault="00DE6781" w:rsidP="00DE6781">
      <w:pPr>
        <w:tabs>
          <w:tab w:val="clear" w:pos="567"/>
        </w:tabs>
        <w:spacing w:line="240" w:lineRule="auto"/>
        <w:ind w:left="567" w:hanging="567"/>
        <w:rPr>
          <w:szCs w:val="22"/>
          <w:lang w:val="lt-LT"/>
        </w:rPr>
      </w:pPr>
    </w:p>
    <w:p w:rsidR="00DE6781" w:rsidRDefault="00DE6781" w:rsidP="00DE6781">
      <w:pPr>
        <w:spacing w:line="240" w:lineRule="auto"/>
        <w:rPr>
          <w:szCs w:val="22"/>
          <w:u w:val="single"/>
          <w:lang w:val="lt-LT"/>
        </w:rPr>
      </w:pPr>
      <w:r>
        <w:rPr>
          <w:szCs w:val="22"/>
          <w:u w:val="single"/>
          <w:lang w:val="lt-LT"/>
        </w:rPr>
        <w:lastRenderedPageBreak/>
        <w:t xml:space="preserve">Atvirojo aktyviuoju preparatu kontroliuoto klinikinio tyrimo duomenimis, 20 metų ir vyresni pacientai </w:t>
      </w:r>
      <w:r>
        <w:rPr>
          <w:szCs w:val="22"/>
          <w:lang w:val="lt-LT"/>
        </w:rPr>
        <w:t xml:space="preserve">buvo linkę dažniau nutraukti </w:t>
      </w:r>
      <w:r>
        <w:rPr>
          <w:noProof/>
          <w:szCs w:val="22"/>
          <w:lang w:val="lt-LT"/>
        </w:rPr>
        <w:t xml:space="preserve">TOBI Podhaler vartojimą nei </w:t>
      </w:r>
      <w:r>
        <w:rPr>
          <w:szCs w:val="22"/>
          <w:lang w:val="lt-LT"/>
        </w:rPr>
        <w:t>purškiamojo tirpalo (TOBI) vartojimą; dėl nepageidaujamų reiškinių vaisto vartojimą nutraukė maždaug pusė pacientų iš kiekvienos šių farmacinių vaisto formų vartojusiųjų grupės</w:t>
      </w:r>
      <w:r>
        <w:rPr>
          <w:noProof/>
          <w:szCs w:val="22"/>
          <w:lang w:val="lt-LT"/>
        </w:rPr>
        <w:t xml:space="preserve">. Vertinant jaunesnių kaip 13 metų vaikų duomenis nustatyta, kad vaisto vartojimas dažniau nutrauktas </w:t>
      </w:r>
      <w:r>
        <w:rPr>
          <w:szCs w:val="22"/>
          <w:lang w:val="lt-LT"/>
        </w:rPr>
        <w:t xml:space="preserve">purškiamojo tirpalo TOBI vartojusiųjų </w:t>
      </w:r>
      <w:r>
        <w:rPr>
          <w:noProof/>
          <w:szCs w:val="22"/>
          <w:lang w:val="lt-LT"/>
        </w:rPr>
        <w:t>grupėje, o 13</w:t>
      </w:r>
      <w:r>
        <w:rPr>
          <w:noProof/>
          <w:szCs w:val="22"/>
          <w:lang w:val="lt-LT"/>
        </w:rPr>
        <w:noBreakHyphen/>
        <w:t>19 metų pacientų tarpe vaisto vartojimo nutraukimo dažniai buvo panašūs abiejų farmacinių vaisto formų vartojusiųjų grupėse.</w:t>
      </w:r>
    </w:p>
    <w:p w:rsidR="00DE6781" w:rsidRDefault="00DE6781" w:rsidP="00DE6781">
      <w:pPr>
        <w:tabs>
          <w:tab w:val="clear" w:pos="567"/>
        </w:tabs>
        <w:spacing w:line="240" w:lineRule="auto"/>
        <w:ind w:left="567" w:hanging="567"/>
        <w:rPr>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t>4.9</w:t>
      </w:r>
      <w:r>
        <w:rPr>
          <w:b/>
          <w:szCs w:val="22"/>
          <w:lang w:val="lt-LT"/>
        </w:rPr>
        <w:tab/>
        <w:t>Perdozavimas</w:t>
      </w:r>
    </w:p>
    <w:p w:rsidR="00DE6781" w:rsidRDefault="00DE6781" w:rsidP="00DE6781">
      <w:pPr>
        <w:keepNext/>
        <w:widowControl w:val="0"/>
        <w:tabs>
          <w:tab w:val="clear" w:pos="567"/>
        </w:tabs>
        <w:spacing w:line="240" w:lineRule="auto"/>
        <w:rPr>
          <w:szCs w:val="22"/>
          <w:lang w:val="lt-LT"/>
        </w:rPr>
      </w:pPr>
    </w:p>
    <w:p w:rsidR="00DE6781" w:rsidRDefault="00DE6781" w:rsidP="00DE6781">
      <w:pPr>
        <w:spacing w:line="240" w:lineRule="auto"/>
        <w:rPr>
          <w:szCs w:val="22"/>
          <w:lang w:val="lt-LT"/>
        </w:rPr>
      </w:pPr>
      <w:r>
        <w:rPr>
          <w:szCs w:val="22"/>
          <w:lang w:val="lt-LT"/>
        </w:rPr>
        <w:t>Nepageidaujamų reakcijų, specifiškai susijusių su TOBI Podhaler perdozavimu, nenustatyta. Didžiausia toleruojama TOBI Podhaler paros dozė nebuvo nustatyta. Perdozavimo atveju stebint pacientų būklę, gali būti naudinga nustatyti tobramicino koncentraciją serume. Jeigu pasireiškia ūminio toksinio poveikio požymių, rekomenduojama nedelsiant nutraukti TOBI Podhaler vartojimą ir atlikti inkstų funkcijos tyrimus. Atsitiktinai išgėrus TOBI Podhaler kapsulių, toksinio poveikio galimybė mažai tikėtina, kadangi tobramicinas prastai absorbuojamas iš nepažeisto virškinimo trakto. Pašalinti tobramiciną iš organizmo gali padėti hemodializės procedūros.</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szCs w:val="22"/>
          <w:lang w:val="lt-LT"/>
        </w:rPr>
      </w:pPr>
      <w:r>
        <w:rPr>
          <w:b/>
          <w:szCs w:val="22"/>
          <w:lang w:val="lt-LT"/>
        </w:rPr>
        <w:t>5.</w:t>
      </w:r>
      <w:r>
        <w:rPr>
          <w:b/>
          <w:szCs w:val="22"/>
          <w:lang w:val="lt-LT"/>
        </w:rPr>
        <w:tab/>
        <w:t xml:space="preserve">FARMAKOLOGINĖS </w:t>
      </w:r>
      <w:r>
        <w:rPr>
          <w:b/>
          <w:caps/>
          <w:szCs w:val="22"/>
          <w:lang w:val="lt-LT"/>
        </w:rPr>
        <w:t>savybės</w:t>
      </w:r>
    </w:p>
    <w:p w:rsidR="00DE6781" w:rsidRDefault="00DE6781" w:rsidP="00DE6781">
      <w:pPr>
        <w:keepNext/>
        <w:widowControl w:val="0"/>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t>5.1</w:t>
      </w:r>
      <w:r>
        <w:rPr>
          <w:b/>
          <w:szCs w:val="22"/>
          <w:lang w:val="lt-LT"/>
        </w:rPr>
        <w:tab/>
        <w:t>Farmakodinaminės savybės</w:t>
      </w:r>
    </w:p>
    <w:p w:rsidR="00DE6781" w:rsidRDefault="00DE6781" w:rsidP="00DE6781">
      <w:pPr>
        <w:keepNext/>
        <w:widowControl w:val="0"/>
        <w:tabs>
          <w:tab w:val="clear" w:pos="567"/>
        </w:tabs>
        <w:spacing w:line="240" w:lineRule="auto"/>
        <w:rPr>
          <w:szCs w:val="22"/>
          <w:lang w:val="lt-LT"/>
        </w:rPr>
      </w:pPr>
    </w:p>
    <w:p w:rsidR="00DE6781" w:rsidRDefault="00DE6781" w:rsidP="00DE6781">
      <w:pPr>
        <w:tabs>
          <w:tab w:val="clear" w:pos="567"/>
        </w:tabs>
        <w:spacing w:line="240" w:lineRule="auto"/>
        <w:outlineLvl w:val="0"/>
        <w:rPr>
          <w:szCs w:val="22"/>
          <w:lang w:val="lt-LT"/>
        </w:rPr>
      </w:pPr>
      <w:r>
        <w:rPr>
          <w:szCs w:val="22"/>
          <w:lang w:val="lt-LT"/>
        </w:rPr>
        <w:t xml:space="preserve">Farmakoterapinė grupė – sisteminio poveikio antibakteriniai preparatai, aminoglikozidų grupės antibakteriniai preparatai, ATC kodas – </w:t>
      </w:r>
      <w:r>
        <w:rPr>
          <w:rFonts w:eastAsia="SimSun"/>
          <w:szCs w:val="22"/>
          <w:lang w:val="lt-LT" w:eastAsia="zh-CN"/>
        </w:rPr>
        <w:t>J01GB01</w:t>
      </w:r>
    </w:p>
    <w:p w:rsidR="00DE6781" w:rsidRDefault="00DE6781" w:rsidP="00DE6781">
      <w:pPr>
        <w:tabs>
          <w:tab w:val="clear" w:pos="567"/>
        </w:tabs>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t>Veikimo mechanizmas</w:t>
      </w:r>
    </w:p>
    <w:p w:rsidR="00DE6781" w:rsidRDefault="00DE6781" w:rsidP="00DE6781">
      <w:pPr>
        <w:tabs>
          <w:tab w:val="clear" w:pos="567"/>
        </w:tabs>
        <w:spacing w:line="240" w:lineRule="auto"/>
        <w:rPr>
          <w:rFonts w:eastAsia="SimSun"/>
          <w:szCs w:val="22"/>
          <w:lang w:val="lt-LT" w:eastAsia="zh-CN"/>
        </w:rPr>
      </w:pPr>
      <w:r>
        <w:rPr>
          <w:rFonts w:eastAsia="SimSun"/>
          <w:szCs w:val="22"/>
          <w:lang w:val="lt-LT" w:eastAsia="zh-CN"/>
        </w:rPr>
        <w:t xml:space="preserve">Tobramicinas yra aminoglikozidų grupės antibiotikas, kurį gamina </w:t>
      </w:r>
      <w:r>
        <w:rPr>
          <w:rFonts w:eastAsia="SimSun"/>
          <w:i/>
          <w:szCs w:val="22"/>
          <w:lang w:val="lt-LT" w:eastAsia="zh-CN"/>
        </w:rPr>
        <w:t>Streptomyces tenebrarius</w:t>
      </w:r>
      <w:r>
        <w:rPr>
          <w:rFonts w:eastAsia="SimSun"/>
          <w:szCs w:val="22"/>
          <w:lang w:val="lt-LT" w:eastAsia="zh-CN"/>
        </w:rPr>
        <w:t>. Pirmiausia vaistas veikia nutraukdamas baltymų sintezę, dėl to pakinta ląstelių membranos pralaidumas, laipsniškai suardomas ląstelės dangalas ir galiausia sukeliama ląstelės žūtis. Vaisto baktericidinės savybės pasireiškia tuomet, kai yra tokia pat ar šiek tiek didesnė jo koncentracija nei bakterijų slopinimą sukelianti koncentracija.</w:t>
      </w:r>
    </w:p>
    <w:p w:rsidR="00DE6781" w:rsidRDefault="00DE6781" w:rsidP="00DE6781">
      <w:pPr>
        <w:tabs>
          <w:tab w:val="clear" w:pos="567"/>
        </w:tabs>
        <w:spacing w:line="240" w:lineRule="auto"/>
        <w:rPr>
          <w:rFonts w:eastAsia="SimSun"/>
          <w:szCs w:val="22"/>
          <w:lang w:val="lt-LT" w:eastAsia="zh-CN"/>
        </w:rPr>
      </w:pPr>
    </w:p>
    <w:p w:rsidR="00DE6781" w:rsidRPr="00707451" w:rsidRDefault="00DE6781" w:rsidP="00DE6781">
      <w:pPr>
        <w:keepNext/>
        <w:spacing w:line="240" w:lineRule="auto"/>
        <w:rPr>
          <w:szCs w:val="22"/>
          <w:u w:val="single"/>
          <w:lang w:val="lt-LT"/>
        </w:rPr>
      </w:pPr>
      <w:r w:rsidRPr="00707451">
        <w:rPr>
          <w:szCs w:val="22"/>
          <w:u w:val="single"/>
          <w:lang w:val="lt-LT"/>
        </w:rPr>
        <w:t>Jautrumo slenkstis</w:t>
      </w:r>
    </w:p>
    <w:p w:rsidR="00DE6781" w:rsidRDefault="00DE6781" w:rsidP="00DE6781">
      <w:pPr>
        <w:tabs>
          <w:tab w:val="clear" w:pos="567"/>
        </w:tabs>
        <w:spacing w:line="240" w:lineRule="auto"/>
        <w:rPr>
          <w:rFonts w:eastAsia="SimSun"/>
          <w:szCs w:val="22"/>
          <w:lang w:val="lt-LT" w:eastAsia="zh-CN"/>
        </w:rPr>
      </w:pPr>
      <w:r>
        <w:rPr>
          <w:rFonts w:eastAsia="SimSun"/>
          <w:szCs w:val="22"/>
          <w:lang w:val="lt-LT" w:eastAsia="zh-CN"/>
        </w:rPr>
        <w:t>Nustatyti mikroorganizmų jautrumo slenksčiai tobramicino vartojant parenteriniu būdu neatitinka jautrumo slenksčių vaistinio preparato skiriant inhaliaciniu būdu.</w:t>
      </w:r>
    </w:p>
    <w:p w:rsidR="00DE6781" w:rsidRDefault="00DE6781" w:rsidP="00DE6781">
      <w:pPr>
        <w:tabs>
          <w:tab w:val="clear" w:pos="567"/>
        </w:tabs>
        <w:spacing w:line="240" w:lineRule="auto"/>
        <w:rPr>
          <w:rFonts w:eastAsia="SimSun"/>
          <w:szCs w:val="22"/>
          <w:lang w:val="lt-LT" w:eastAsia="zh-CN"/>
        </w:rPr>
      </w:pPr>
    </w:p>
    <w:p w:rsidR="00DE6781" w:rsidRDefault="00DE6781" w:rsidP="00DE6781">
      <w:pPr>
        <w:spacing w:line="240" w:lineRule="auto"/>
        <w:rPr>
          <w:rFonts w:eastAsia="SimSun"/>
          <w:szCs w:val="22"/>
          <w:lang w:val="lt-LT" w:eastAsia="zh-CN"/>
        </w:rPr>
      </w:pPr>
      <w:r>
        <w:rPr>
          <w:rFonts w:eastAsia="SimSun"/>
          <w:szCs w:val="22"/>
          <w:lang w:val="lt-LT" w:eastAsia="zh-CN"/>
        </w:rPr>
        <w:t xml:space="preserve">Cistine fibroze sergančių pacientų skrepliai pasižymi slopinamuoju poveikiu vietiniam inhaliuojamųjų aminoglikozidų biologiniam aktyvumui. Dėl to būtina, kad inhaliuoto tobramicino koncentracija skrepliuose būtų maždaug dešimt kartų ar dar didesnė nei </w:t>
      </w:r>
      <w:r>
        <w:rPr>
          <w:szCs w:val="22"/>
          <w:lang w:val="lt-LT"/>
        </w:rPr>
        <w:t xml:space="preserve">mažiausioji slopinamoji koncentracija (angl. </w:t>
      </w:r>
      <w:r>
        <w:rPr>
          <w:i/>
          <w:szCs w:val="22"/>
          <w:lang w:val="lt-LT"/>
        </w:rPr>
        <w:t xml:space="preserve">minimum inhibitory concentrations </w:t>
      </w:r>
      <w:r>
        <w:rPr>
          <w:szCs w:val="22"/>
          <w:lang w:val="lt-LT"/>
        </w:rPr>
        <w:t xml:space="preserve">– MIC), reikalinga </w:t>
      </w:r>
      <w:r>
        <w:rPr>
          <w:rFonts w:eastAsia="SimSun"/>
          <w:i/>
          <w:szCs w:val="22"/>
          <w:lang w:val="lt-LT" w:eastAsia="zh-CN"/>
        </w:rPr>
        <w:t>P. aeruginosa</w:t>
      </w:r>
      <w:r>
        <w:rPr>
          <w:rFonts w:eastAsia="SimSun"/>
          <w:szCs w:val="22"/>
          <w:lang w:val="lt-LT" w:eastAsia="zh-CN"/>
        </w:rPr>
        <w:t xml:space="preserve"> slopinimui. </w:t>
      </w:r>
      <w:r>
        <w:rPr>
          <w:szCs w:val="22"/>
          <w:lang w:val="lt-LT"/>
        </w:rPr>
        <w:t xml:space="preserve">Aktyviuoju preparatu kontroliuoto tyrimo duomenimis, mažiausiai 89 % pacientų nustatytų </w:t>
      </w:r>
      <w:r>
        <w:rPr>
          <w:i/>
          <w:iCs/>
          <w:szCs w:val="22"/>
          <w:lang w:val="lt-LT"/>
        </w:rPr>
        <w:t>P. aeruginosa</w:t>
      </w:r>
      <w:r>
        <w:rPr>
          <w:szCs w:val="22"/>
          <w:lang w:val="lt-LT"/>
        </w:rPr>
        <w:t xml:space="preserve"> padermių MIC buvo bent 15 kartų mažesnė nei vidutinė koncentracija skrepliuose po vaisto vartojimo tiek tyrimo pradžioje, tiek ir trečiojo gydymo ciklo </w:t>
      </w:r>
      <w:r>
        <w:rPr>
          <w:rFonts w:eastAsia="SimSun"/>
          <w:szCs w:val="22"/>
          <w:lang w:val="lt-LT" w:eastAsia="zh-CN"/>
        </w:rPr>
        <w:t>pabaigoje.</w:t>
      </w:r>
    </w:p>
    <w:p w:rsidR="00DE6781" w:rsidRDefault="00DE6781" w:rsidP="00DE6781">
      <w:pPr>
        <w:tabs>
          <w:tab w:val="clear" w:pos="567"/>
        </w:tabs>
        <w:spacing w:line="240" w:lineRule="auto"/>
        <w:rPr>
          <w:rFonts w:eastAsia="SimSun"/>
          <w:szCs w:val="22"/>
          <w:lang w:val="lt-LT" w:eastAsia="zh-CN"/>
        </w:rPr>
      </w:pPr>
    </w:p>
    <w:p w:rsidR="00DE6781" w:rsidRPr="00707451" w:rsidRDefault="00DE6781" w:rsidP="00DE6781">
      <w:pPr>
        <w:keepNext/>
        <w:spacing w:line="240" w:lineRule="auto"/>
        <w:rPr>
          <w:szCs w:val="22"/>
          <w:u w:val="single"/>
          <w:lang w:val="lt-LT"/>
        </w:rPr>
      </w:pPr>
      <w:r w:rsidRPr="00707451">
        <w:rPr>
          <w:szCs w:val="22"/>
          <w:u w:val="single"/>
          <w:lang w:val="lt-LT"/>
        </w:rPr>
        <w:t>Jautrumas</w:t>
      </w:r>
    </w:p>
    <w:p w:rsidR="00DE6781" w:rsidRDefault="00DE6781" w:rsidP="00DE6781">
      <w:pPr>
        <w:tabs>
          <w:tab w:val="clear" w:pos="567"/>
        </w:tabs>
        <w:spacing w:line="240" w:lineRule="auto"/>
        <w:rPr>
          <w:rFonts w:eastAsia="SimSun"/>
          <w:szCs w:val="22"/>
          <w:lang w:val="lt-LT" w:eastAsia="zh-CN"/>
        </w:rPr>
      </w:pPr>
      <w:r>
        <w:rPr>
          <w:rFonts w:eastAsia="SimSun"/>
          <w:szCs w:val="22"/>
          <w:lang w:val="lt-LT" w:eastAsia="zh-CN"/>
        </w:rPr>
        <w:t>Nesant įprastinių jautrumo slenksčio duomenų vaisto vartojant inhaliaciniu būdu, mikroorganizmus priskirti jautriems ar nejautriems inhaliuojamajam tobramicinui reikia atsargiai.</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 xml:space="preserve">Gydant cistine fibroze sergančius pacientus, tobramicino MIC </w:t>
      </w:r>
      <w:r>
        <w:rPr>
          <w:i/>
          <w:iCs/>
          <w:szCs w:val="22"/>
          <w:lang w:val="lt-LT"/>
        </w:rPr>
        <w:t>P. aeruginosa</w:t>
      </w:r>
      <w:r>
        <w:rPr>
          <w:szCs w:val="22"/>
          <w:lang w:val="lt-LT"/>
        </w:rPr>
        <w:t xml:space="preserve"> padermėms pokyčių klinikinė reikšmė tiksliai nenustatyta. Klinikinių tyrimų metu skiriant inhaliuojamojo tobramicino tirpalo (TOBI) nustatyta nedaug padidėjusi tobramicino, amikacino ir gentamicino mažiausioji slopinamoji koncentracija tirtoms </w:t>
      </w:r>
      <w:r>
        <w:rPr>
          <w:i/>
          <w:szCs w:val="22"/>
          <w:lang w:val="lt-LT"/>
        </w:rPr>
        <w:t>P. aeruginosa</w:t>
      </w:r>
      <w:r>
        <w:rPr>
          <w:szCs w:val="22"/>
          <w:lang w:val="lt-LT"/>
        </w:rPr>
        <w:t xml:space="preserve"> padermėms. Atviro tęstinio klinikinio tyrimo metu po kiekvieno papildomo 6 mėnesių trukmės </w:t>
      </w:r>
      <w:r>
        <w:rPr>
          <w:szCs w:val="22"/>
          <w:lang w:val="lt-LT"/>
        </w:rPr>
        <w:lastRenderedPageBreak/>
        <w:t>gydymo MIC laipsniškai padidėdavo ir kiekvienas šis padidėjimas būdavo panašus į tą, kuris nustatytas 6 mėnesių trukmės placebu kontroliuotų tyrimų metu.</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 xml:space="preserve">Atsparumo tobramicinui išsivystymo mechanizmai yra įvairūs. Svarbiausi atsparumo mechanizmai yra vaisto išstūmimas iš ląstelės ir jo inaktyvinimas modifikuojant fermentus. Specifinės </w:t>
      </w:r>
      <w:r>
        <w:rPr>
          <w:i/>
          <w:szCs w:val="22"/>
          <w:lang w:val="lt-LT"/>
        </w:rPr>
        <w:t>P. aeruginosa</w:t>
      </w:r>
      <w:r>
        <w:rPr>
          <w:szCs w:val="22"/>
          <w:lang w:val="lt-LT"/>
        </w:rPr>
        <w:t xml:space="preserve"> sukeltos lėtinės infekcijos savybės cistine fibroze sergantiems pacientams, pavyzdžiui, anaerobinių sąlygų susidarymas ir didelis genetinių mutacijų dažnis, taip pat gali būti svarbūs sumažėjusio </w:t>
      </w:r>
      <w:r>
        <w:rPr>
          <w:i/>
          <w:szCs w:val="22"/>
          <w:lang w:val="lt-LT"/>
        </w:rPr>
        <w:t>P. aeruginosa</w:t>
      </w:r>
      <w:r>
        <w:rPr>
          <w:szCs w:val="22"/>
          <w:lang w:val="lt-LT"/>
        </w:rPr>
        <w:t xml:space="preserve"> jautrumo išsivystymo veiksniai šiems pacientams.</w:t>
      </w:r>
    </w:p>
    <w:p w:rsidR="00DE6781" w:rsidRDefault="00DE6781" w:rsidP="00DE6781">
      <w:pPr>
        <w:spacing w:line="240" w:lineRule="auto"/>
        <w:rPr>
          <w:szCs w:val="22"/>
          <w:lang w:val="lt-LT"/>
        </w:rPr>
      </w:pPr>
    </w:p>
    <w:p w:rsidR="00DE6781" w:rsidRDefault="00DE6781" w:rsidP="00DE6781">
      <w:pPr>
        <w:pStyle w:val="NormalIndent"/>
        <w:keepNext/>
        <w:spacing w:after="0"/>
        <w:ind w:left="0"/>
        <w:rPr>
          <w:szCs w:val="22"/>
          <w:lang w:val="lt-LT"/>
        </w:rPr>
      </w:pPr>
      <w:r>
        <w:rPr>
          <w:szCs w:val="22"/>
          <w:lang w:val="lt-LT"/>
        </w:rPr>
        <w:t xml:space="preserve">Remiantis </w:t>
      </w:r>
      <w:r>
        <w:rPr>
          <w:i/>
          <w:iCs/>
          <w:szCs w:val="22"/>
          <w:lang w:val="lt-LT"/>
        </w:rPr>
        <w:t>in vitro</w:t>
      </w:r>
      <w:r>
        <w:rPr>
          <w:szCs w:val="22"/>
          <w:lang w:val="lt-LT"/>
        </w:rPr>
        <w:t xml:space="preserve"> duomenimis ir (arba) klinikinių tyrimų metu sukaupta patirtimi, tikimasi, kad su cistine fibroze sergančių pacientų plaučių infekcijomis susiję mikroorganizmai reaguos į gydymą TOBI Podhaler kaip nurodyta toliau:</w:t>
      </w:r>
    </w:p>
    <w:p w:rsidR="00DE6781" w:rsidRDefault="00DE6781" w:rsidP="00DE6781">
      <w:pPr>
        <w:pStyle w:val="NormalIndent"/>
        <w:keepNext/>
        <w:spacing w:after="0"/>
        <w:ind w:left="0"/>
        <w:rPr>
          <w:szCs w:val="22"/>
          <w:lang w:val="lt-LT"/>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4140"/>
      </w:tblGrid>
      <w:tr w:rsidR="00DE6781" w:rsidTr="000B450E">
        <w:tc>
          <w:tcPr>
            <w:tcW w:w="1728" w:type="dxa"/>
          </w:tcPr>
          <w:p w:rsidR="00DE6781" w:rsidRDefault="00DE6781" w:rsidP="000B450E">
            <w:pPr>
              <w:rPr>
                <w:szCs w:val="22"/>
                <w:lang w:val="lt-LT"/>
              </w:rPr>
            </w:pPr>
            <w:r>
              <w:rPr>
                <w:szCs w:val="22"/>
                <w:lang w:val="lt-LT"/>
              </w:rPr>
              <w:t>Jautrūs mikroorganizmai</w:t>
            </w:r>
          </w:p>
        </w:tc>
        <w:tc>
          <w:tcPr>
            <w:tcW w:w="4140" w:type="dxa"/>
          </w:tcPr>
          <w:p w:rsidR="00DE6781" w:rsidRDefault="00DE6781" w:rsidP="000B450E">
            <w:pPr>
              <w:rPr>
                <w:i/>
                <w:szCs w:val="22"/>
                <w:lang w:val="lt-LT"/>
              </w:rPr>
            </w:pPr>
            <w:r>
              <w:rPr>
                <w:i/>
                <w:szCs w:val="22"/>
                <w:lang w:val="lt-LT"/>
              </w:rPr>
              <w:t>Pseudomonas aeruginosa</w:t>
            </w:r>
          </w:p>
          <w:p w:rsidR="00DE6781" w:rsidRDefault="00DE6781" w:rsidP="000B450E">
            <w:pPr>
              <w:rPr>
                <w:i/>
                <w:szCs w:val="22"/>
                <w:lang w:val="lt-LT"/>
              </w:rPr>
            </w:pPr>
            <w:r>
              <w:rPr>
                <w:i/>
                <w:szCs w:val="22"/>
                <w:lang w:val="lt-LT"/>
              </w:rPr>
              <w:t>Haemophilus influenzae</w:t>
            </w:r>
          </w:p>
          <w:p w:rsidR="00DE6781" w:rsidRDefault="00DE6781" w:rsidP="000B450E">
            <w:pPr>
              <w:rPr>
                <w:i/>
                <w:szCs w:val="22"/>
                <w:lang w:val="lt-LT"/>
              </w:rPr>
            </w:pPr>
            <w:r>
              <w:rPr>
                <w:i/>
                <w:szCs w:val="22"/>
                <w:lang w:val="lt-LT"/>
              </w:rPr>
              <w:t>Staphylococcus aureus</w:t>
            </w:r>
          </w:p>
        </w:tc>
      </w:tr>
      <w:tr w:rsidR="00DE6781" w:rsidTr="000B450E">
        <w:tc>
          <w:tcPr>
            <w:tcW w:w="1728" w:type="dxa"/>
          </w:tcPr>
          <w:p w:rsidR="00DE6781" w:rsidRDefault="00DE6781" w:rsidP="000B450E">
            <w:pPr>
              <w:rPr>
                <w:szCs w:val="22"/>
                <w:lang w:val="lt-LT"/>
              </w:rPr>
            </w:pPr>
            <w:r>
              <w:rPr>
                <w:szCs w:val="22"/>
                <w:lang w:val="lt-LT"/>
              </w:rPr>
              <w:t>Nejautrūs mikroorganizmai</w:t>
            </w:r>
          </w:p>
        </w:tc>
        <w:tc>
          <w:tcPr>
            <w:tcW w:w="4140" w:type="dxa"/>
          </w:tcPr>
          <w:p w:rsidR="00DE6781" w:rsidRDefault="00DE6781" w:rsidP="000B450E">
            <w:pPr>
              <w:rPr>
                <w:i/>
                <w:szCs w:val="22"/>
                <w:lang w:val="lt-LT"/>
              </w:rPr>
            </w:pPr>
            <w:r>
              <w:rPr>
                <w:i/>
                <w:szCs w:val="22"/>
                <w:lang w:val="lt-LT"/>
              </w:rPr>
              <w:t>Burkholderia cepacia</w:t>
            </w:r>
          </w:p>
          <w:p w:rsidR="00DE6781" w:rsidRDefault="00DE6781" w:rsidP="000B450E">
            <w:pPr>
              <w:rPr>
                <w:i/>
                <w:szCs w:val="22"/>
                <w:lang w:val="lt-LT"/>
              </w:rPr>
            </w:pPr>
            <w:r>
              <w:rPr>
                <w:i/>
                <w:szCs w:val="22"/>
                <w:lang w:val="lt-LT"/>
              </w:rPr>
              <w:t>Stenotrophomonas maltophilia</w:t>
            </w:r>
          </w:p>
          <w:p w:rsidR="00DE6781" w:rsidRDefault="00DE6781" w:rsidP="000B450E">
            <w:pPr>
              <w:rPr>
                <w:i/>
                <w:szCs w:val="22"/>
                <w:lang w:val="lt-LT"/>
              </w:rPr>
            </w:pPr>
            <w:r>
              <w:rPr>
                <w:i/>
                <w:szCs w:val="22"/>
                <w:lang w:val="lt-LT"/>
              </w:rPr>
              <w:t>Alcaligenes xylosoxidans</w:t>
            </w:r>
          </w:p>
        </w:tc>
      </w:tr>
    </w:tbl>
    <w:p w:rsidR="00DE6781" w:rsidRDefault="00DE6781" w:rsidP="00DE6781">
      <w:pPr>
        <w:pStyle w:val="NormalIndent"/>
        <w:spacing w:after="0"/>
        <w:ind w:left="0"/>
        <w:rPr>
          <w:szCs w:val="22"/>
          <w:lang w:val="lt-LT"/>
        </w:rPr>
      </w:pPr>
    </w:p>
    <w:p w:rsidR="00DE6781" w:rsidRDefault="00DE6781" w:rsidP="00DE6781">
      <w:pPr>
        <w:keepNext/>
        <w:spacing w:line="240" w:lineRule="auto"/>
        <w:rPr>
          <w:szCs w:val="22"/>
          <w:u w:val="single"/>
          <w:lang w:val="lt-LT"/>
        </w:rPr>
      </w:pPr>
      <w:r>
        <w:rPr>
          <w:szCs w:val="22"/>
          <w:u w:val="single"/>
          <w:lang w:val="lt-LT"/>
        </w:rPr>
        <w:t>Klinikinė patirtis</w:t>
      </w:r>
    </w:p>
    <w:p w:rsidR="00DE6781" w:rsidRDefault="00DE6781" w:rsidP="00DE6781">
      <w:pPr>
        <w:spacing w:line="240" w:lineRule="auto"/>
        <w:rPr>
          <w:szCs w:val="22"/>
          <w:lang w:val="lt-LT"/>
        </w:rPr>
      </w:pPr>
      <w:r>
        <w:rPr>
          <w:szCs w:val="22"/>
          <w:lang w:val="lt-LT"/>
        </w:rPr>
        <w:t>TOBI Podhaler III fazės klinikinių tyrimų programą sudarė du klinikiniai tyrimai ir 612 gydytų pacientų, kuriems nustatyta klinikinė cistinės fibrozės diagnozė, patvirtinta kiekybiniu prakaito chloridų kiekio nustatymu pilokarpino jonoforezės būdu arba būdingos ligą sukeliančios mutacijos kiekviename cistinės fibrozės transmembraninio reguliatoriaus (CFTR) gene nustatymu, arba pakitusio cistinei fibrozei būdingo nosies transepitelinių potencialų skirtumo nustatymu.</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Placebu kontroliuotame tyrime dalyvavo nuo 6 iki ≤22 metų amžiaus pacientai, kuriems atrankos metu nustatytas FEV</w:t>
      </w:r>
      <w:r>
        <w:rPr>
          <w:szCs w:val="22"/>
          <w:vertAlign w:val="subscript"/>
          <w:lang w:val="lt-LT"/>
        </w:rPr>
        <w:t>1</w:t>
      </w:r>
      <w:r>
        <w:rPr>
          <w:szCs w:val="22"/>
          <w:lang w:val="lt-LT"/>
        </w:rPr>
        <w:t xml:space="preserve"> rodiklis buvo tarp 25 % ir 84 % numanomos normalios jo reikšmės, apskaičiuotos pagal pacientų amžių, lytį ir ūgį, remiantis Knudson kriterijais. Aktyviuoju preparatu kontroliuotuose tyrimuose dalyvavusių visų pacientų amžius buvo &gt;6 metų (svyravo 6</w:t>
      </w:r>
      <w:r>
        <w:rPr>
          <w:szCs w:val="22"/>
          <w:lang w:val="lt-LT"/>
        </w:rPr>
        <w:noBreakHyphen/>
        <w:t>66 metų ribose), jiems atrankos metu nustatytas FEV</w:t>
      </w:r>
      <w:r>
        <w:rPr>
          <w:szCs w:val="22"/>
          <w:vertAlign w:val="subscript"/>
          <w:lang w:val="lt-LT"/>
        </w:rPr>
        <w:t>1</w:t>
      </w:r>
      <w:r>
        <w:rPr>
          <w:szCs w:val="22"/>
          <w:lang w:val="lt-LT"/>
        </w:rPr>
        <w:t xml:space="preserve"> procentinis rodiklis buvo tarp 24 % ir 76 % numanomos normalios reikšmės. Be to, visi pacientai buvo infekuoti </w:t>
      </w:r>
      <w:r>
        <w:rPr>
          <w:i/>
          <w:iCs/>
          <w:szCs w:val="22"/>
          <w:lang w:val="lt-LT"/>
        </w:rPr>
        <w:t xml:space="preserve">P. aeruginosa </w:t>
      </w:r>
      <w:r>
        <w:rPr>
          <w:szCs w:val="22"/>
          <w:lang w:val="lt-LT"/>
        </w:rPr>
        <w:t>bakterijomis, infekcija patvirtinta teigiamu skreplių ar ryklės kultūros (ar bronchoalveolinio plovimo) tyrimo rezultatu, nustatytu per 6 mėnesius iki atrankos, ir taip pat teigiamu skreplių kultūros tyrimo rezultatu, nustatytu atrankos vizito metu.</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Atsitiktinių imčių, dvigubai aklu būdu atlikto, placebu kontroliuoto, daugiacentrio klinikinio tyrimo metu buvo skiriama po 112 mg (4 kapsules po 28 mg) TOBI Podhaler du kartus per parą tris gydymo ciklus, kurių kiekvieno metu 28 dienas buvo skiriamas gydymas ir 28 dienas vaisto nebuvo vartojama (bendrasis gydymo laikotarpis truko 24 savaites). Pacientams, kurie atsitiktiniu būdu buvo atrinkti į placebo grupę, pirmojo gydymo ciklo metu buvo skiriama placebo, o kitų dviejų ciklų metu – TOBI Podhaler. Šiame tyrime dalyvavę pacientai mažiausiai 4 mėnesius iki tyrimo pradžios nebuvo vartoję inhaliuojamojo tobramicino.</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Nustatyta, kad TOBI Podhaler reikšmingai pagerino plaučių funkciją lyginant su placebo poveikiu, vertinant pagal santykinai padidėjusią procentinę numanomo FEV</w:t>
      </w:r>
      <w:r>
        <w:rPr>
          <w:szCs w:val="22"/>
          <w:vertAlign w:val="subscript"/>
          <w:lang w:val="lt-LT"/>
        </w:rPr>
        <w:t>1</w:t>
      </w:r>
      <w:r>
        <w:rPr>
          <w:szCs w:val="22"/>
          <w:lang w:val="lt-LT"/>
        </w:rPr>
        <w:t xml:space="preserve"> rodiklio reikšmę maždaug 13 % po 28 dienų gydymo. Pirmojo gydymo ciklo metu pasiektas plaučių funkcijos pagerėjimas išliko ir kitų dviejų gydymo TOBI Podhaler ciklų metu.</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Kai placebo grupės pacientams nuo antrojo gydymo ciklo pradžios gydymas buvo pakeistas į TOBI Podhaler, jiems pasireiškė panašus procentinės numanomo FEV</w:t>
      </w:r>
      <w:r>
        <w:rPr>
          <w:szCs w:val="22"/>
          <w:vertAlign w:val="subscript"/>
          <w:lang w:val="lt-LT"/>
        </w:rPr>
        <w:t>1</w:t>
      </w:r>
      <w:r>
        <w:rPr>
          <w:szCs w:val="22"/>
          <w:lang w:val="lt-LT"/>
        </w:rPr>
        <w:t xml:space="preserve"> rodiklio reikšmės pagerėjimas, lyginant su pradine reikšme.</w:t>
      </w:r>
      <w:r>
        <w:rPr>
          <w:lang w:val="lt-LT"/>
        </w:rPr>
        <w:t xml:space="preserve"> P</w:t>
      </w:r>
      <w:r>
        <w:rPr>
          <w:szCs w:val="22"/>
          <w:lang w:val="lt-LT"/>
        </w:rPr>
        <w:t xml:space="preserve">o 28 dienų trukmės gydymo TOBI Podhaler statistiškai reikšmingai sumažėjo </w:t>
      </w:r>
      <w:r>
        <w:rPr>
          <w:i/>
          <w:szCs w:val="22"/>
          <w:lang w:val="lt-LT"/>
        </w:rPr>
        <w:t>P. aeruginosa</w:t>
      </w:r>
      <w:r>
        <w:rPr>
          <w:szCs w:val="22"/>
          <w:lang w:val="lt-LT"/>
        </w:rPr>
        <w:t xml:space="preserve"> tankis </w:t>
      </w:r>
      <w:r>
        <w:rPr>
          <w:szCs w:val="22"/>
          <w:lang w:val="lt-LT"/>
        </w:rPr>
        <w:lastRenderedPageBreak/>
        <w:t>skreplių tyrime; vidutinis skirtumas lyginant su placebo grupe buvo maždaug 2,70 log</w:t>
      </w:r>
      <w:r>
        <w:rPr>
          <w:szCs w:val="22"/>
          <w:vertAlign w:val="subscript"/>
          <w:lang w:val="lt-LT"/>
        </w:rPr>
        <w:t>10</w:t>
      </w:r>
      <w:r>
        <w:rPr>
          <w:szCs w:val="22"/>
          <w:lang w:val="lt-LT"/>
        </w:rPr>
        <w:t xml:space="preserve"> kolonijas sudarančių vienetų (angl. </w:t>
      </w:r>
      <w:r>
        <w:rPr>
          <w:i/>
          <w:szCs w:val="22"/>
          <w:lang w:val="lt-LT"/>
        </w:rPr>
        <w:t>colony forming units</w:t>
      </w:r>
      <w:r>
        <w:rPr>
          <w:szCs w:val="22"/>
          <w:lang w:val="lt-LT"/>
        </w:rPr>
        <w:t xml:space="preserve"> – CFUs)</w:t>
      </w:r>
      <w:r>
        <w:rPr>
          <w:lang w:val="lt-LT"/>
        </w:rPr>
        <w:t>.</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 xml:space="preserve">Antrojo atviro, daugiacentrio tyrimo metu pacientams buvo skiriamas gydymas arba TOBI Podhaler (112 mg) arba tobramicino 300 mg/5 ml purškiamuoju tirpalu (TOBI), vartojamais du kartus per parą tris gydymo ciklus. Daugelis tyrime dalyvavusių pacientų buvo jau anksčiau tobramicino vartoję suaugusieji, kuriems nustatyta lėtinė </w:t>
      </w:r>
      <w:r>
        <w:rPr>
          <w:i/>
          <w:szCs w:val="22"/>
          <w:lang w:val="lt-LT"/>
        </w:rPr>
        <w:t>P. aeruginosa</w:t>
      </w:r>
      <w:r>
        <w:rPr>
          <w:szCs w:val="22"/>
          <w:lang w:val="lt-LT"/>
        </w:rPr>
        <w:t xml:space="preserve"> sukelta plaučių infekcija.</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 xml:space="preserve">Gydant tiek TOBI Podhaler, tiek </w:t>
      </w:r>
      <w:r>
        <w:rPr>
          <w:noProof/>
          <w:lang w:val="lt-LT"/>
        </w:rPr>
        <w:t>tobramicino 300 mg/5 ml</w:t>
      </w:r>
      <w:r>
        <w:rPr>
          <w:szCs w:val="22"/>
          <w:lang w:val="lt-LT"/>
        </w:rPr>
        <w:t xml:space="preserve"> purškiamuoju tirpalu (TOBI), 28-ąją trečiojo gydymo ciklo dieną procentinė numanomo FEV</w:t>
      </w:r>
      <w:r>
        <w:rPr>
          <w:szCs w:val="22"/>
          <w:vertAlign w:val="subscript"/>
          <w:lang w:val="lt-LT"/>
        </w:rPr>
        <w:t>1</w:t>
      </w:r>
      <w:r>
        <w:rPr>
          <w:szCs w:val="22"/>
          <w:lang w:val="lt-LT"/>
        </w:rPr>
        <w:t xml:space="preserve"> rodiklio reikšmė, lyginant su pradine, santykinai padidėjo, atitinkamai, 5,8 % ir 4,7 %. Procentinės numanomo FEV</w:t>
      </w:r>
      <w:r>
        <w:rPr>
          <w:szCs w:val="22"/>
          <w:vertAlign w:val="subscript"/>
          <w:lang w:val="lt-LT"/>
        </w:rPr>
        <w:t>1</w:t>
      </w:r>
      <w:r>
        <w:rPr>
          <w:szCs w:val="22"/>
          <w:lang w:val="lt-LT"/>
        </w:rPr>
        <w:t xml:space="preserve"> rodiklio reikšmės padidėjimas skaitine verte buvo didesnis TOBI Podhaler vartojusiųjų pacientų grupėje ir statistiškai buvo ne prastesnis nei purškiamojo tirpalo TOBI vartojusiųjų pacientų grupėje. Nors šio tyrimo duomenimis plaučių funkcijos rodikliai pagerėjo mažiau, tokie rezultatai paaiškinami tuo, kad tiriamieji asmenys jau anksčiau vartojo inhaliuojamojo tobramicino. Daugiau nei pusei tiek </w:t>
      </w:r>
      <w:r>
        <w:rPr>
          <w:noProof/>
          <w:szCs w:val="22"/>
          <w:lang w:val="lt-LT"/>
        </w:rPr>
        <w:t xml:space="preserve">TOBI Podhaler, tiek </w:t>
      </w:r>
      <w:r>
        <w:rPr>
          <w:szCs w:val="22"/>
          <w:lang w:val="lt-LT"/>
        </w:rPr>
        <w:t>purškiamojo tirpalo TOBI vartojusiųjų pacientų</w:t>
      </w:r>
      <w:r>
        <w:rPr>
          <w:noProof/>
          <w:szCs w:val="22"/>
          <w:lang w:val="lt-LT"/>
        </w:rPr>
        <w:t xml:space="preserve"> buvo skirta naujo (papildomo) antibiotiko </w:t>
      </w:r>
      <w:r>
        <w:rPr>
          <w:szCs w:val="22"/>
          <w:lang w:val="lt-LT"/>
        </w:rPr>
        <w:t xml:space="preserve">nuo pseudomonų sukeltos infekcijos </w:t>
      </w:r>
      <w:r>
        <w:rPr>
          <w:noProof/>
          <w:szCs w:val="22"/>
          <w:lang w:val="lt-LT"/>
        </w:rPr>
        <w:t xml:space="preserve">(atitinkamai, 64,9 % ir 54,5 % pacientų; skirtumas daugiausia susidarė dėl geriamojo ciprofloksacino vartojimo). Pacientų, kuriuos </w:t>
      </w:r>
      <w:r>
        <w:rPr>
          <w:szCs w:val="22"/>
          <w:lang w:val="lt-LT"/>
        </w:rPr>
        <w:t>reikėjo hospitalizuoti dėl kvėpavimo sistemos sutrikimų, dalis TOBI Podhaler</w:t>
      </w:r>
      <w:r>
        <w:rPr>
          <w:noProof/>
          <w:szCs w:val="22"/>
          <w:lang w:val="lt-LT"/>
        </w:rPr>
        <w:t xml:space="preserve"> vartojusiųjų grupėje buvo 24,4 %, o </w:t>
      </w:r>
      <w:r>
        <w:rPr>
          <w:szCs w:val="22"/>
          <w:lang w:val="lt-LT"/>
        </w:rPr>
        <w:t xml:space="preserve">purškiamojo tirpalo TOBI vartojusiųjų grupėje – </w:t>
      </w:r>
      <w:r>
        <w:rPr>
          <w:noProof/>
          <w:szCs w:val="22"/>
          <w:lang w:val="lt-LT"/>
        </w:rPr>
        <w:t>22,0 %.</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Nustatyti FEV</w:t>
      </w:r>
      <w:r>
        <w:rPr>
          <w:szCs w:val="22"/>
          <w:vertAlign w:val="subscript"/>
          <w:lang w:val="lt-LT"/>
        </w:rPr>
        <w:t>1</w:t>
      </w:r>
      <w:r>
        <w:rPr>
          <w:szCs w:val="22"/>
          <w:lang w:val="lt-LT"/>
        </w:rPr>
        <w:t xml:space="preserve"> rodiklio pokyčių skirtumai įvairiose pacientų amžiaus grupėse. Pacientams, kurių amžius buvo &lt;20 metų, procentinė numanomo FEV</w:t>
      </w:r>
      <w:r>
        <w:rPr>
          <w:szCs w:val="22"/>
          <w:vertAlign w:val="subscript"/>
          <w:lang w:val="lt-LT"/>
        </w:rPr>
        <w:t>1</w:t>
      </w:r>
      <w:r>
        <w:rPr>
          <w:szCs w:val="22"/>
          <w:lang w:val="lt-LT"/>
        </w:rPr>
        <w:t xml:space="preserve"> rodiklio reikšmė, lyginant su pradine reikšme, padidėjo labiau: 11,3 % TOBI Podhaler ir 6,9 % purškiamojo tirpalo vartojusiesiems pacientams po 3 gydymo ciklų. Pacientų, vyresnių kaip 20 metų amžiaus grupėje buvo stebimas statistiškai mažas atsakas: procentinės numanomo FEV</w:t>
      </w:r>
      <w:r>
        <w:rPr>
          <w:szCs w:val="22"/>
          <w:vertAlign w:val="subscript"/>
          <w:lang w:val="lt-LT"/>
        </w:rPr>
        <w:t>1</w:t>
      </w:r>
      <w:r>
        <w:rPr>
          <w:szCs w:val="22"/>
          <w:lang w:val="lt-LT"/>
        </w:rPr>
        <w:t xml:space="preserve"> rodiklio reikšmės, lyginant su pradine reikšme, pokytis buvo mažesnis pacientams, kurių amžius ≥20 metų (0,3 % TOBI Podhaler ir 0,9 % purškiamojo tirpalo vartojusiems tiriamiesiems).</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Be to, procentinės numanomo FEV</w:t>
      </w:r>
      <w:r>
        <w:rPr>
          <w:szCs w:val="22"/>
          <w:vertAlign w:val="subscript"/>
          <w:lang w:val="lt-LT"/>
        </w:rPr>
        <w:t>1</w:t>
      </w:r>
      <w:r>
        <w:rPr>
          <w:szCs w:val="22"/>
          <w:lang w:val="lt-LT"/>
        </w:rPr>
        <w:t xml:space="preserve"> rodiklio reikšmės padidėjimas</w:t>
      </w:r>
      <w:r>
        <w:rPr>
          <w:noProof/>
          <w:szCs w:val="22"/>
          <w:lang w:val="lt-LT"/>
        </w:rPr>
        <w:t xml:space="preserve"> 6 % buvo pasiektas maždaug 30 % ir 36 % suaugusių pacientų, atitinkamai, TOBI Podhaler ir </w:t>
      </w:r>
      <w:r>
        <w:rPr>
          <w:szCs w:val="22"/>
          <w:lang w:val="lt-LT"/>
        </w:rPr>
        <w:t xml:space="preserve">purškiamojo tirpalo TOBI </w:t>
      </w:r>
      <w:r>
        <w:rPr>
          <w:noProof/>
          <w:szCs w:val="22"/>
          <w:lang w:val="lt-LT"/>
        </w:rPr>
        <w:t>vartojusiųjų grupėse</w:t>
      </w:r>
      <w:r>
        <w:rPr>
          <w:szCs w:val="22"/>
          <w:lang w:val="lt-LT"/>
        </w:rPr>
        <w:t>.</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lang w:val="lt-LT"/>
        </w:rPr>
        <w:t>P</w:t>
      </w:r>
      <w:r>
        <w:rPr>
          <w:szCs w:val="22"/>
          <w:lang w:val="lt-LT"/>
        </w:rPr>
        <w:t xml:space="preserve">o 28 dienų trukmės gydymo TOBI Podhaler statistiškai reikšmingai sumažėjo </w:t>
      </w:r>
      <w:r>
        <w:rPr>
          <w:i/>
          <w:szCs w:val="22"/>
          <w:lang w:val="lt-LT"/>
        </w:rPr>
        <w:t>P. aeruginosa</w:t>
      </w:r>
      <w:r>
        <w:rPr>
          <w:szCs w:val="22"/>
          <w:lang w:val="lt-LT"/>
        </w:rPr>
        <w:t xml:space="preserve"> tankis skreplių tyrime (</w:t>
      </w:r>
      <w:r>
        <w:rPr>
          <w:szCs w:val="22"/>
          <w:lang w:val="lt-LT"/>
        </w:rPr>
        <w:noBreakHyphen/>
        <w:t>1,61 log</w:t>
      </w:r>
      <w:r>
        <w:rPr>
          <w:szCs w:val="22"/>
          <w:vertAlign w:val="subscript"/>
          <w:lang w:val="lt-LT"/>
        </w:rPr>
        <w:t>10</w:t>
      </w:r>
      <w:r>
        <w:rPr>
          <w:szCs w:val="22"/>
          <w:lang w:val="lt-LT"/>
        </w:rPr>
        <w:t xml:space="preserve"> CFUs), lyginant su purškiamojo tirpalo poveikiu (</w:t>
      </w:r>
      <w:r>
        <w:rPr>
          <w:szCs w:val="22"/>
          <w:lang w:val="lt-LT"/>
        </w:rPr>
        <w:noBreakHyphen/>
        <w:t>0,77 log</w:t>
      </w:r>
      <w:r>
        <w:rPr>
          <w:szCs w:val="22"/>
          <w:vertAlign w:val="subscript"/>
          <w:lang w:val="lt-LT"/>
        </w:rPr>
        <w:t>10</w:t>
      </w:r>
      <w:r>
        <w:rPr>
          <w:szCs w:val="22"/>
          <w:lang w:val="lt-LT"/>
        </w:rPr>
        <w:t xml:space="preserve"> CFUs). </w:t>
      </w:r>
      <w:r>
        <w:rPr>
          <w:i/>
          <w:szCs w:val="22"/>
          <w:lang w:val="lt-LT"/>
        </w:rPr>
        <w:t>P. aeruginosa</w:t>
      </w:r>
      <w:r>
        <w:rPr>
          <w:szCs w:val="22"/>
          <w:lang w:val="lt-LT"/>
        </w:rPr>
        <w:t xml:space="preserve"> tankio skreplių tyrime sumažėjimas buvo panašus visų amžiaus grupių pacientams abejose tiriamosiose grupėse. Abiejų tyrimų metu nustatyta tendencija, kad po 28 dienų, kai vaisto nebūdavo vartojama, </w:t>
      </w:r>
      <w:r>
        <w:rPr>
          <w:i/>
          <w:szCs w:val="22"/>
          <w:lang w:val="lt-LT"/>
        </w:rPr>
        <w:t>P. aeruginosa</w:t>
      </w:r>
      <w:r>
        <w:rPr>
          <w:szCs w:val="22"/>
          <w:lang w:val="lt-LT"/>
        </w:rPr>
        <w:t xml:space="preserve"> tankis atsistatydavo, o vėliau po kito 28 dienų gydymo laikotarpio vėl sumažėdavo.</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Aktyviuoju preparatu kontroliuoto tyrimo duomenimis, TOBI Podhaler dozės suvartojimas buvo greitesnis; nustatytas vidutinis maždaug 14 minučių skirtumas (6 minutės lyginant su 20 minučių trukme vartojant purškiamojo tirpalo). Pacientų nurodyti vaisto vartojimo patogumo ir bendrojo pasitenkinimo gydymu rodikliai (nustatyti pacientų nurodomų gydymo rezultatų klausimynų pagalba) kiekvieno gydymo ciklo metu buvo nuosekliai didesni vartojusių TOBI Podhaler tiriamųjų grupėje, lyginant su tobramicino purškiamojo tirpalo vartojusiųjų grupe.</w:t>
      </w:r>
    </w:p>
    <w:p w:rsidR="00DE6781" w:rsidRDefault="00DE6781" w:rsidP="00DE6781">
      <w:pPr>
        <w:numPr>
          <w:ilvl w:val="12"/>
          <w:numId w:val="0"/>
        </w:numPr>
        <w:spacing w:line="240" w:lineRule="auto"/>
        <w:ind w:right="-2"/>
        <w:rPr>
          <w:iCs/>
          <w:szCs w:val="22"/>
          <w:lang w:val="lt-LT"/>
        </w:rPr>
      </w:pPr>
    </w:p>
    <w:p w:rsidR="00DE6781" w:rsidRDefault="00DE6781" w:rsidP="00DE6781">
      <w:pPr>
        <w:numPr>
          <w:ilvl w:val="12"/>
          <w:numId w:val="0"/>
        </w:numPr>
        <w:spacing w:line="240" w:lineRule="auto"/>
        <w:ind w:right="-2"/>
        <w:rPr>
          <w:iCs/>
          <w:szCs w:val="22"/>
          <w:lang w:val="lt-LT"/>
        </w:rPr>
      </w:pPr>
      <w:r>
        <w:rPr>
          <w:iCs/>
          <w:szCs w:val="22"/>
          <w:lang w:val="lt-LT"/>
        </w:rPr>
        <w:t>Vaisto saugumo tyrimų rezultatai nurodyti 4.8 skyriuje.</w:t>
      </w:r>
    </w:p>
    <w:p w:rsidR="00DE6781" w:rsidRDefault="00DE6781" w:rsidP="00DE6781">
      <w:pPr>
        <w:numPr>
          <w:ilvl w:val="12"/>
          <w:numId w:val="0"/>
        </w:numPr>
        <w:spacing w:line="240" w:lineRule="auto"/>
        <w:ind w:right="-2"/>
        <w:rPr>
          <w:iCs/>
          <w:szCs w:val="22"/>
          <w:lang w:val="lt-LT"/>
        </w:rPr>
      </w:pPr>
    </w:p>
    <w:p w:rsidR="00DE6781" w:rsidRDefault="00DE6781" w:rsidP="00DE6781">
      <w:pPr>
        <w:tabs>
          <w:tab w:val="clear" w:pos="567"/>
        </w:tabs>
        <w:spacing w:line="240" w:lineRule="auto"/>
        <w:rPr>
          <w:szCs w:val="22"/>
          <w:lang w:val="lt-LT"/>
        </w:rPr>
      </w:pPr>
      <w:r>
        <w:rPr>
          <w:szCs w:val="22"/>
          <w:lang w:val="lt-LT"/>
        </w:rPr>
        <w:t xml:space="preserve">Europos vaistų agentūra atidėjo įsipareigojimą pateikti inhaliuojamojo tobramicino rezultatus tyrimų su vienu ar daugiau cistine fibroze sergančių vaikų, kuriems nustatyta </w:t>
      </w:r>
      <w:r>
        <w:rPr>
          <w:rFonts w:eastAsia="SimSun"/>
          <w:szCs w:val="22"/>
          <w:lang w:val="lt-LT" w:eastAsia="zh-CN"/>
        </w:rPr>
        <w:t xml:space="preserve">Pseudomonas aeruginosa sukelta plaučių infekcija ar šių bakterijų kolonizacija, </w:t>
      </w:r>
      <w:r>
        <w:rPr>
          <w:szCs w:val="22"/>
          <w:lang w:val="lt-LT"/>
        </w:rPr>
        <w:t>populiacijos pogrupių (žr. 4.2 skyriuje informaciją apie vartojimą vaikams).</w:t>
      </w:r>
    </w:p>
    <w:p w:rsidR="00DE6781" w:rsidRDefault="00DE6781" w:rsidP="00DE6781">
      <w:pPr>
        <w:numPr>
          <w:ilvl w:val="12"/>
          <w:numId w:val="0"/>
        </w:numPr>
        <w:spacing w:line="240" w:lineRule="auto"/>
        <w:ind w:right="-2"/>
        <w:rPr>
          <w:iCs/>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lastRenderedPageBreak/>
        <w:t>5.2</w:t>
      </w:r>
      <w:r>
        <w:rPr>
          <w:b/>
          <w:szCs w:val="22"/>
          <w:lang w:val="lt-LT"/>
        </w:rPr>
        <w:tab/>
        <w:t>Farmakokinetinės savybės</w:t>
      </w:r>
    </w:p>
    <w:p w:rsidR="00DE6781" w:rsidRDefault="00DE6781" w:rsidP="00DE6781">
      <w:pPr>
        <w:keepNext/>
        <w:widowControl w:val="0"/>
        <w:tabs>
          <w:tab w:val="clear" w:pos="567"/>
        </w:tabs>
        <w:spacing w:line="240" w:lineRule="auto"/>
        <w:ind w:left="567" w:hanging="567"/>
        <w:outlineLvl w:val="0"/>
        <w:rPr>
          <w:szCs w:val="22"/>
          <w:lang w:val="lt-LT"/>
        </w:rPr>
      </w:pPr>
    </w:p>
    <w:p w:rsidR="00DE6781" w:rsidRDefault="00DE6781" w:rsidP="00DE6781">
      <w:pPr>
        <w:keepNext/>
        <w:spacing w:line="240" w:lineRule="auto"/>
        <w:rPr>
          <w:szCs w:val="22"/>
          <w:u w:val="single"/>
          <w:lang w:val="lt-LT"/>
        </w:rPr>
      </w:pPr>
      <w:r>
        <w:rPr>
          <w:szCs w:val="22"/>
          <w:u w:val="single"/>
          <w:lang w:val="lt-LT"/>
        </w:rPr>
        <w:t>Absorbcija</w:t>
      </w:r>
    </w:p>
    <w:p w:rsidR="00DE6781" w:rsidRDefault="00DE6781" w:rsidP="00DE6781">
      <w:pPr>
        <w:spacing w:line="240" w:lineRule="auto"/>
        <w:rPr>
          <w:szCs w:val="22"/>
          <w:lang w:val="lt-LT"/>
        </w:rPr>
      </w:pPr>
      <w:r>
        <w:rPr>
          <w:szCs w:val="22"/>
          <w:lang w:val="lt-LT"/>
        </w:rPr>
        <w:t>Tikėtina, kad inhaliavus TOBI Podhaler sisteminė tobramicino ekspozicija pasireiškia pirmiausia dėl inhaliuotosios vaistinio preparato dalies, kadangi bent kiek reikšmingo išgerto tobramicino kiekio neabsorbuojama.</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i/>
          <w:szCs w:val="22"/>
          <w:lang w:val="lt-LT"/>
        </w:rPr>
        <w:t>Koncentracija serume.</w:t>
      </w:r>
      <w:r>
        <w:rPr>
          <w:szCs w:val="22"/>
          <w:lang w:val="lt-LT"/>
        </w:rPr>
        <w:t xml:space="preserve"> Cistine fibroze sergantiems pacientams inhaliavus vienkartinę 112 mg TOBI Podhaler dozę (4 kapsules po 28 mg), didžiausia tobramicino koncentracija serume (C</w:t>
      </w:r>
      <w:r>
        <w:rPr>
          <w:szCs w:val="22"/>
          <w:vertAlign w:val="subscript"/>
          <w:lang w:val="lt-LT"/>
        </w:rPr>
        <w:t>max</w:t>
      </w:r>
      <w:r>
        <w:rPr>
          <w:szCs w:val="22"/>
          <w:lang w:val="lt-LT"/>
        </w:rPr>
        <w:t>) buvo 1,02 ± 0,53 μg/ml (nurodyta vidutinė reikšmė ± SD), o didžiausios koncentracijos susidarymo laiko (T</w:t>
      </w:r>
      <w:r>
        <w:rPr>
          <w:szCs w:val="22"/>
          <w:vertAlign w:val="subscript"/>
          <w:lang w:val="lt-LT"/>
        </w:rPr>
        <w:t>max</w:t>
      </w:r>
      <w:r>
        <w:rPr>
          <w:szCs w:val="22"/>
          <w:lang w:val="lt-LT"/>
        </w:rPr>
        <w:t>) mediana buvo viena valanda. Inhaliavus vienkartinę tobramicino 300 mg/5 ml purškiamojo tirpalo dozę, palyginimui, C</w:t>
      </w:r>
      <w:r>
        <w:rPr>
          <w:szCs w:val="22"/>
          <w:vertAlign w:val="subscript"/>
          <w:lang w:val="lt-LT"/>
        </w:rPr>
        <w:t>max</w:t>
      </w:r>
      <w:r>
        <w:rPr>
          <w:szCs w:val="22"/>
          <w:lang w:val="lt-LT"/>
        </w:rPr>
        <w:t xml:space="preserve"> buvo 1,04 ± 0,58 µg/ml, o T</w:t>
      </w:r>
      <w:r>
        <w:rPr>
          <w:szCs w:val="22"/>
          <w:vertAlign w:val="subscript"/>
          <w:lang w:val="lt-LT"/>
        </w:rPr>
        <w:t>max</w:t>
      </w:r>
      <w:r>
        <w:rPr>
          <w:szCs w:val="22"/>
          <w:lang w:val="lt-LT"/>
        </w:rPr>
        <w:t xml:space="preserve"> mediana buvo viena valanda. Pavartojus 112 mg TOBI Podhaler dozę ir 300 mg tobramicino purškiamojo tirpalo dozę (TOBI), sisteminės ekspozicijos mastas (AUC rodikliai) taip pat buvo panašūs. 4 savaičių trukmės TOBI Podhaler vartojimo ciklo pabaigoje (vaisto skiriant po 112 mg du kartus per parą), didžiausia tobramicino koncentracija serume praėjus 1 valandai po dozės vartojimo buvo 1,99 ± 0,59 µg/ml.</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i/>
          <w:szCs w:val="22"/>
          <w:lang w:val="lt-LT"/>
        </w:rPr>
        <w:t>Koncentracija skrepliuose.</w:t>
      </w:r>
      <w:r>
        <w:rPr>
          <w:szCs w:val="22"/>
          <w:lang w:val="lt-LT"/>
        </w:rPr>
        <w:t xml:space="preserve"> Cistine fibroze sergantiems pacientams inhaliavus vienkartinę 112 mg TOBI Podhaler dozę (4 kapsules po 28 mg), tobramicino C</w:t>
      </w:r>
      <w:r>
        <w:rPr>
          <w:szCs w:val="22"/>
          <w:vertAlign w:val="subscript"/>
          <w:lang w:val="lt-LT"/>
        </w:rPr>
        <w:t>max</w:t>
      </w:r>
      <w:r>
        <w:rPr>
          <w:szCs w:val="22"/>
          <w:lang w:val="lt-LT"/>
        </w:rPr>
        <w:t xml:space="preserve"> skrepliuose buvo 1 047 ± 1 080 µg/g (nurodyta vidutinė reikšmė ± SD). Inhaliavus vienkartinę 300 mg tobramicino purškiamojo tirpalo (TOBI) dozę, palyginimui, C</w:t>
      </w:r>
      <w:r>
        <w:rPr>
          <w:szCs w:val="22"/>
          <w:vertAlign w:val="subscript"/>
          <w:lang w:val="lt-LT"/>
        </w:rPr>
        <w:t>max</w:t>
      </w:r>
      <w:r>
        <w:rPr>
          <w:szCs w:val="22"/>
          <w:lang w:val="lt-LT"/>
        </w:rPr>
        <w:t xml:space="preserve"> skrepliuose buvo 737,3 ± 1 028,4 µg/g. Farmakokinetikos rodiklių kintamumas buvo didesnis juos vertinant skrepliuose nei serume.</w:t>
      </w:r>
    </w:p>
    <w:p w:rsidR="00DE6781" w:rsidRDefault="00DE6781" w:rsidP="00DE6781">
      <w:pPr>
        <w:spacing w:line="240" w:lineRule="auto"/>
        <w:rPr>
          <w:szCs w:val="22"/>
          <w:lang w:val="lt-LT"/>
        </w:rPr>
      </w:pPr>
    </w:p>
    <w:p w:rsidR="00DE6781" w:rsidRDefault="00DE6781" w:rsidP="00DE6781">
      <w:pPr>
        <w:keepNext/>
        <w:spacing w:line="240" w:lineRule="auto"/>
        <w:rPr>
          <w:szCs w:val="22"/>
          <w:u w:val="single"/>
          <w:lang w:val="lt-LT"/>
        </w:rPr>
      </w:pPr>
      <w:r>
        <w:rPr>
          <w:szCs w:val="22"/>
          <w:u w:val="single"/>
          <w:lang w:val="lt-LT"/>
        </w:rPr>
        <w:t>Pasiskirstymas</w:t>
      </w:r>
    </w:p>
    <w:p w:rsidR="00DE6781" w:rsidRDefault="00DE6781" w:rsidP="00DE6781">
      <w:pPr>
        <w:spacing w:line="240" w:lineRule="auto"/>
        <w:rPr>
          <w:szCs w:val="22"/>
          <w:lang w:val="lt-LT"/>
        </w:rPr>
      </w:pPr>
      <w:r>
        <w:rPr>
          <w:bCs/>
          <w:szCs w:val="22"/>
          <w:lang w:val="lt-LT"/>
        </w:rPr>
        <w:t xml:space="preserve">Populiacinės </w:t>
      </w:r>
      <w:r>
        <w:rPr>
          <w:szCs w:val="22"/>
          <w:lang w:val="lt-LT"/>
        </w:rPr>
        <w:t xml:space="preserve">TOBI Podhaler </w:t>
      </w:r>
      <w:r>
        <w:rPr>
          <w:bCs/>
          <w:szCs w:val="22"/>
          <w:lang w:val="lt-LT"/>
        </w:rPr>
        <w:t>farmakokinetikos analizės cistine fibroze sergantiems pacientams duomenimis, apskaičiuotas tariamas tobramicino pasiskirstymo tūris centrinėje kameroje įprastai šiems pacientams yra</w:t>
      </w:r>
      <w:r>
        <w:rPr>
          <w:szCs w:val="22"/>
          <w:lang w:val="lt-LT"/>
        </w:rPr>
        <w:t xml:space="preserve"> 84,1 litro. Nors nustatyta, kad pasiskirstymo tūris kinta priklausomai nuo kūno masės indekso (KMI) ir plaučių funkcijos (numanomo procentinio FEV</w:t>
      </w:r>
      <w:r>
        <w:rPr>
          <w:szCs w:val="22"/>
          <w:vertAlign w:val="subscript"/>
          <w:lang w:val="lt-LT"/>
        </w:rPr>
        <w:t>1</w:t>
      </w:r>
      <w:r>
        <w:rPr>
          <w:szCs w:val="22"/>
          <w:lang w:val="lt-LT"/>
        </w:rPr>
        <w:t xml:space="preserve"> rodiklio reikšmės), modelių imitavimo tyrimai parodė, kad KMI ar plaučių funkcijos rodiklių pokyčiai reikšmingai neįtakoja didžiausios (C</w:t>
      </w:r>
      <w:r>
        <w:rPr>
          <w:szCs w:val="22"/>
          <w:vertAlign w:val="subscript"/>
          <w:lang w:val="lt-LT"/>
        </w:rPr>
        <w:t>max</w:t>
      </w:r>
      <w:r>
        <w:rPr>
          <w:szCs w:val="22"/>
          <w:lang w:val="lt-LT"/>
        </w:rPr>
        <w:t>) ir mažiausios (C</w:t>
      </w:r>
      <w:r>
        <w:rPr>
          <w:szCs w:val="22"/>
          <w:vertAlign w:val="subscript"/>
          <w:lang w:val="lt-LT"/>
        </w:rPr>
        <w:t>trough</w:t>
      </w:r>
      <w:r>
        <w:rPr>
          <w:szCs w:val="22"/>
          <w:lang w:val="lt-LT"/>
        </w:rPr>
        <w:t>) vaisto koncentracijos.</w:t>
      </w:r>
    </w:p>
    <w:p w:rsidR="00DE6781" w:rsidRDefault="00DE6781" w:rsidP="00DE6781">
      <w:pPr>
        <w:spacing w:line="240" w:lineRule="auto"/>
        <w:rPr>
          <w:strike/>
          <w:szCs w:val="22"/>
          <w:lang w:val="lt-LT"/>
        </w:rPr>
      </w:pPr>
    </w:p>
    <w:p w:rsidR="00DE6781" w:rsidRDefault="00DE6781" w:rsidP="00DE6781">
      <w:pPr>
        <w:keepNext/>
        <w:spacing w:line="240" w:lineRule="auto"/>
        <w:rPr>
          <w:szCs w:val="22"/>
          <w:u w:val="single"/>
          <w:lang w:val="lt-LT"/>
        </w:rPr>
      </w:pPr>
      <w:r>
        <w:rPr>
          <w:szCs w:val="22"/>
          <w:u w:val="single"/>
          <w:lang w:val="lt-LT"/>
        </w:rPr>
        <w:t>Biotransformacija</w:t>
      </w:r>
    </w:p>
    <w:p w:rsidR="00DE6781" w:rsidRDefault="00DE6781" w:rsidP="00DE6781">
      <w:pPr>
        <w:spacing w:line="240" w:lineRule="auto"/>
        <w:rPr>
          <w:szCs w:val="22"/>
          <w:lang w:val="lt-LT"/>
        </w:rPr>
      </w:pPr>
      <w:r>
        <w:rPr>
          <w:szCs w:val="22"/>
          <w:lang w:val="lt-LT"/>
        </w:rPr>
        <w:t>Tobramicinas nėra metabolizuojamas ir didžiausia jo dalis išsiskiria nepakitusio su šlapimu.</w:t>
      </w:r>
    </w:p>
    <w:p w:rsidR="00DE6781" w:rsidRDefault="00DE6781" w:rsidP="00DE6781">
      <w:pPr>
        <w:spacing w:line="240" w:lineRule="auto"/>
        <w:rPr>
          <w:strike/>
          <w:szCs w:val="22"/>
          <w:lang w:val="lt-LT"/>
        </w:rPr>
      </w:pPr>
    </w:p>
    <w:p w:rsidR="00DE6781" w:rsidRDefault="00DE6781" w:rsidP="00DE6781">
      <w:pPr>
        <w:keepNext/>
        <w:spacing w:line="240" w:lineRule="auto"/>
        <w:rPr>
          <w:szCs w:val="22"/>
          <w:u w:val="single"/>
          <w:lang w:val="lt-LT"/>
        </w:rPr>
      </w:pPr>
      <w:r>
        <w:rPr>
          <w:szCs w:val="22"/>
          <w:u w:val="single"/>
          <w:lang w:val="lt-LT"/>
        </w:rPr>
        <w:t>Šalinimas</w:t>
      </w:r>
    </w:p>
    <w:p w:rsidR="00DE6781" w:rsidRDefault="00DE6781" w:rsidP="00DE6781">
      <w:pPr>
        <w:pStyle w:val="Text"/>
        <w:spacing w:before="0"/>
        <w:jc w:val="left"/>
        <w:rPr>
          <w:sz w:val="22"/>
          <w:szCs w:val="22"/>
          <w:lang w:val="lt-LT"/>
        </w:rPr>
      </w:pPr>
      <w:r>
        <w:rPr>
          <w:sz w:val="22"/>
          <w:szCs w:val="22"/>
          <w:lang w:val="lt-LT"/>
        </w:rPr>
        <w:t>Tobramicinas iš sisteminės kraujotakos šalinamas pirmiausia glomerulų filtracijos būdu nepakitusios medžiagos pavidalu. Cistine fibroze sergantiems pacientams inhaliavus vienkartinę 112 mg TOBI Podhaler dozę, tariamas galutinis tobramicino pusinės eliminacijos iš serumo laikotarpis buvo maždaug 3 valandos ir atitiko pusinės tobramicino eliminacijos laikotarpį po tobramicino 300 mg/5 ml purškiamojo tirpalo (TOBI) inhaliacijos.</w:t>
      </w:r>
    </w:p>
    <w:p w:rsidR="00DE6781" w:rsidRDefault="00DE6781" w:rsidP="00DE6781">
      <w:pPr>
        <w:pStyle w:val="Text"/>
        <w:spacing w:before="0"/>
        <w:jc w:val="left"/>
        <w:rPr>
          <w:sz w:val="22"/>
          <w:szCs w:val="22"/>
          <w:lang w:val="lt-LT"/>
        </w:rPr>
      </w:pPr>
    </w:p>
    <w:p w:rsidR="00DE6781" w:rsidRDefault="00DE6781" w:rsidP="00DE6781">
      <w:pPr>
        <w:spacing w:line="240" w:lineRule="auto"/>
        <w:rPr>
          <w:i/>
          <w:szCs w:val="22"/>
          <w:lang w:val="lt-LT"/>
        </w:rPr>
      </w:pPr>
      <w:r>
        <w:rPr>
          <w:bCs/>
          <w:szCs w:val="22"/>
          <w:lang w:val="lt-LT"/>
        </w:rPr>
        <w:t xml:space="preserve">Populiacinės </w:t>
      </w:r>
      <w:r>
        <w:rPr>
          <w:szCs w:val="22"/>
          <w:lang w:val="lt-LT"/>
        </w:rPr>
        <w:t xml:space="preserve">TOBI Podhaler </w:t>
      </w:r>
      <w:r>
        <w:rPr>
          <w:bCs/>
          <w:szCs w:val="22"/>
          <w:lang w:val="lt-LT"/>
        </w:rPr>
        <w:t>farmakokinetikos analizės cistine fibroze sergantiems 6</w:t>
      </w:r>
      <w:r>
        <w:rPr>
          <w:bCs/>
          <w:szCs w:val="22"/>
          <w:lang w:val="lt-LT"/>
        </w:rPr>
        <w:noBreakHyphen/>
        <w:t xml:space="preserve">66 metų pacientams duomenimis, apskaičiuotas numanomas tobramicino serumo klirensas yra </w:t>
      </w:r>
      <w:r>
        <w:rPr>
          <w:szCs w:val="22"/>
          <w:lang w:val="lt-LT"/>
        </w:rPr>
        <w:t>14 litrų per val. Šios analizės metu su pacientų lytimi ar amžiumi susijusių farmakokinetikos rodiklių skirtumų nenustatyta.</w:t>
      </w:r>
    </w:p>
    <w:p w:rsidR="00DE6781" w:rsidRDefault="00DE6781" w:rsidP="00DE6781">
      <w:pPr>
        <w:tabs>
          <w:tab w:val="clear" w:pos="567"/>
        </w:tabs>
        <w:spacing w:line="240" w:lineRule="auto"/>
        <w:ind w:left="567" w:hanging="567"/>
        <w:outlineLvl w:val="0"/>
        <w:rPr>
          <w:szCs w:val="22"/>
          <w:lang w:val="lt-LT"/>
        </w:rPr>
      </w:pPr>
    </w:p>
    <w:p w:rsidR="00DE6781" w:rsidRDefault="00DE6781" w:rsidP="00DE6781">
      <w:pPr>
        <w:keepNext/>
        <w:widowControl w:val="0"/>
        <w:tabs>
          <w:tab w:val="clear" w:pos="567"/>
        </w:tabs>
        <w:spacing w:line="240" w:lineRule="auto"/>
        <w:ind w:left="567" w:hanging="567"/>
        <w:outlineLvl w:val="0"/>
        <w:rPr>
          <w:b/>
          <w:szCs w:val="22"/>
          <w:lang w:val="lt-LT"/>
        </w:rPr>
      </w:pPr>
      <w:r>
        <w:rPr>
          <w:b/>
          <w:szCs w:val="22"/>
          <w:lang w:val="lt-LT"/>
        </w:rPr>
        <w:t>5.3</w:t>
      </w:r>
      <w:r>
        <w:rPr>
          <w:b/>
          <w:szCs w:val="22"/>
          <w:lang w:val="lt-LT"/>
        </w:rPr>
        <w:tab/>
        <w:t>Ikiklinikinių saugumo tyrimų duomenys</w:t>
      </w:r>
    </w:p>
    <w:p w:rsidR="00DE6781" w:rsidRDefault="00DE6781" w:rsidP="00DE6781">
      <w:pPr>
        <w:keepNext/>
        <w:widowControl w:val="0"/>
        <w:tabs>
          <w:tab w:val="clear" w:pos="567"/>
        </w:tabs>
        <w:spacing w:line="240" w:lineRule="auto"/>
        <w:ind w:left="567" w:hanging="567"/>
        <w:outlineLvl w:val="0"/>
        <w:rPr>
          <w:szCs w:val="22"/>
          <w:lang w:val="lt-LT"/>
        </w:rPr>
      </w:pPr>
    </w:p>
    <w:p w:rsidR="00DE6781" w:rsidRDefault="00DE6781" w:rsidP="00DE6781">
      <w:pPr>
        <w:spacing w:line="240" w:lineRule="auto"/>
        <w:rPr>
          <w:szCs w:val="22"/>
          <w:lang w:val="lt-LT"/>
        </w:rPr>
      </w:pPr>
      <w:r>
        <w:rPr>
          <w:szCs w:val="22"/>
          <w:lang w:val="lt-LT"/>
        </w:rPr>
        <w:t>Farmakologinio saugumo, kartotinių dozių toksiškumo, genotoksiškumo ir toksinio poveikio reprodukcijai ikiklinikinių tyrimų duomenys parodė, kad svarbiausias kenksmingas poveikis žmogui yra toksinis poveikis inkstams ir ototoksinis poveikis. Apskritai toksinis poveikis nustatytas tuomet, kai buvo didesnė sisteminė tobramicino koncentracija nei susidaranti inhaliavus rekomenduojamą gydomąją vaisto dozę.</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lastRenderedPageBreak/>
        <w:t>Kancerogeninio poveikio tyrimų duomenys rodo, kad inhaliuotas tobramicinas nedidina kurių nors auglių tipų pasireiškimo dažnio. Atlikus įvairius genotoksiškumo tyrimus nustatyta, kad tobramicinas neturi genotoksinio poveikio savybių.</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Toksinio poveikio reprodukcijai tyrimų skiriant inhaliuojamojo tobramicino neatlikta. Tačiau nustatyta, kad tobramicino skiriant po oda organogenezės laikotarpiu teratogeninis ar toksinis poveikis embrionui nepasireiškia. Ypatingai toksinių dozių triušių patelėms (t.y., sukeliančių nefrotoksinį poveikį) skyrimas sukelia spontaninius persileidimus ir žūtį. Remiantis turimais su gyvūnais atliktų tyrimų duomenimis, kai yra preparato ekspozicija prenataliniame laikotarpyje, toksinio poveikio (pvz., ototoksinio poveikio) rizikos atmesti negalima.</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Po oda vartojamas tobramicinas neįtakojo žiurkių patinų bei patelių poravimosi elgsenos ir nesukėlė vislumo sutrikimų.</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b/>
          <w:szCs w:val="22"/>
          <w:lang w:val="lt-LT"/>
        </w:rPr>
      </w:pPr>
      <w:r>
        <w:rPr>
          <w:b/>
          <w:szCs w:val="22"/>
          <w:lang w:val="lt-LT"/>
        </w:rPr>
        <w:t>6.</w:t>
      </w:r>
      <w:r>
        <w:rPr>
          <w:b/>
          <w:szCs w:val="22"/>
          <w:lang w:val="lt-LT"/>
        </w:rPr>
        <w:tab/>
      </w:r>
      <w:r>
        <w:rPr>
          <w:b/>
          <w:caps/>
          <w:szCs w:val="22"/>
          <w:lang w:val="lt-LT"/>
        </w:rPr>
        <w:t>farmacinė informacija</w:t>
      </w:r>
    </w:p>
    <w:p w:rsidR="00DE6781" w:rsidRDefault="00DE6781" w:rsidP="00DE6781">
      <w:pPr>
        <w:keepNext/>
        <w:widowControl w:val="0"/>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t>6.1</w:t>
      </w:r>
      <w:r>
        <w:rPr>
          <w:b/>
          <w:szCs w:val="22"/>
          <w:lang w:val="lt-LT"/>
        </w:rPr>
        <w:tab/>
        <w:t>Pagalbinių medžiagų sąrašas</w:t>
      </w:r>
    </w:p>
    <w:p w:rsidR="00DE6781" w:rsidRDefault="00DE6781" w:rsidP="00DE6781">
      <w:pPr>
        <w:keepNext/>
        <w:widowControl w:val="0"/>
        <w:tabs>
          <w:tab w:val="clear" w:pos="567"/>
        </w:tabs>
        <w:spacing w:line="240" w:lineRule="auto"/>
        <w:rPr>
          <w:iCs/>
          <w:szCs w:val="22"/>
          <w:lang w:val="lt-LT"/>
        </w:rPr>
      </w:pPr>
    </w:p>
    <w:p w:rsidR="00DE6781" w:rsidRDefault="00DE6781" w:rsidP="00DE6781">
      <w:pPr>
        <w:keepNext/>
        <w:spacing w:line="240" w:lineRule="auto"/>
        <w:rPr>
          <w:szCs w:val="22"/>
          <w:u w:val="single"/>
          <w:lang w:val="lt-LT"/>
        </w:rPr>
      </w:pPr>
      <w:r>
        <w:rPr>
          <w:szCs w:val="22"/>
          <w:u w:val="single"/>
          <w:lang w:val="lt-LT"/>
        </w:rPr>
        <w:t>Kapsulės turinys</w:t>
      </w:r>
    </w:p>
    <w:p w:rsidR="00DE6781" w:rsidRDefault="00DE6781" w:rsidP="00DE6781">
      <w:pPr>
        <w:spacing w:line="240" w:lineRule="auto"/>
        <w:rPr>
          <w:szCs w:val="22"/>
          <w:lang w:val="lt-LT"/>
        </w:rPr>
      </w:pPr>
      <w:r>
        <w:rPr>
          <w:szCs w:val="22"/>
          <w:lang w:val="lt-LT"/>
        </w:rPr>
        <w:t>1,2-distearoil-sn-glicero-3-fosfocholinas (DSPC)</w:t>
      </w:r>
    </w:p>
    <w:p w:rsidR="00DE6781" w:rsidRDefault="00DE6781" w:rsidP="00DE6781">
      <w:pPr>
        <w:spacing w:line="240" w:lineRule="auto"/>
        <w:rPr>
          <w:szCs w:val="22"/>
          <w:lang w:val="lt-LT"/>
        </w:rPr>
      </w:pPr>
      <w:r>
        <w:rPr>
          <w:szCs w:val="22"/>
          <w:lang w:val="lt-LT"/>
        </w:rPr>
        <w:t>Kalcio chloridas</w:t>
      </w:r>
    </w:p>
    <w:p w:rsidR="00DE6781" w:rsidRDefault="00DE6781" w:rsidP="00DE6781">
      <w:pPr>
        <w:spacing w:line="240" w:lineRule="auto"/>
        <w:rPr>
          <w:szCs w:val="22"/>
          <w:lang w:val="lt-LT"/>
        </w:rPr>
      </w:pPr>
      <w:r>
        <w:rPr>
          <w:szCs w:val="22"/>
          <w:lang w:val="lt-LT"/>
        </w:rPr>
        <w:t>Sulfato rūgštis (pH sureguliavimui)</w:t>
      </w:r>
    </w:p>
    <w:p w:rsidR="00DE6781" w:rsidRDefault="00DE6781" w:rsidP="00DE6781">
      <w:pPr>
        <w:tabs>
          <w:tab w:val="clear" w:pos="567"/>
        </w:tabs>
        <w:spacing w:line="240" w:lineRule="auto"/>
        <w:rPr>
          <w:iCs/>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t>6.2</w:t>
      </w:r>
      <w:r>
        <w:rPr>
          <w:b/>
          <w:szCs w:val="22"/>
          <w:lang w:val="lt-LT"/>
        </w:rPr>
        <w:tab/>
        <w:t>Nesuderinamumas</w:t>
      </w:r>
    </w:p>
    <w:p w:rsidR="00DE6781" w:rsidRDefault="00DE6781" w:rsidP="00DE6781">
      <w:pPr>
        <w:keepNext/>
        <w:widowControl w:val="0"/>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Duomenys nebūtini.</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b/>
          <w:szCs w:val="22"/>
          <w:lang w:val="lt-LT"/>
        </w:rPr>
      </w:pPr>
      <w:r>
        <w:rPr>
          <w:b/>
          <w:szCs w:val="22"/>
          <w:lang w:val="lt-LT"/>
        </w:rPr>
        <w:t>6.3</w:t>
      </w:r>
      <w:r>
        <w:rPr>
          <w:b/>
          <w:szCs w:val="22"/>
          <w:lang w:val="lt-LT"/>
        </w:rPr>
        <w:tab/>
        <w:t>Tinkamumo laikas</w:t>
      </w:r>
    </w:p>
    <w:p w:rsidR="00DE6781" w:rsidRDefault="00DE6781" w:rsidP="00DE6781">
      <w:pPr>
        <w:keepNext/>
        <w:widowControl w:val="0"/>
        <w:tabs>
          <w:tab w:val="clear" w:pos="567"/>
        </w:tabs>
        <w:spacing w:line="240" w:lineRule="auto"/>
        <w:ind w:left="567" w:hanging="567"/>
        <w:outlineLvl w:val="0"/>
        <w:rPr>
          <w:szCs w:val="22"/>
          <w:lang w:val="lt-LT"/>
        </w:rPr>
      </w:pPr>
    </w:p>
    <w:p w:rsidR="00DE6781" w:rsidRDefault="00DE6781" w:rsidP="00DE6781">
      <w:pPr>
        <w:spacing w:line="240" w:lineRule="auto"/>
        <w:ind w:left="567" w:hanging="567"/>
        <w:rPr>
          <w:szCs w:val="22"/>
          <w:lang w:val="lt-LT"/>
        </w:rPr>
      </w:pPr>
      <w:r>
        <w:rPr>
          <w:szCs w:val="22"/>
          <w:lang w:val="lt-LT"/>
        </w:rPr>
        <w:t>3 metai</w:t>
      </w:r>
    </w:p>
    <w:p w:rsidR="00DE6781" w:rsidRDefault="00DE6781" w:rsidP="00DE6781">
      <w:pPr>
        <w:tabs>
          <w:tab w:val="clear" w:pos="567"/>
        </w:tabs>
        <w:spacing w:line="240" w:lineRule="auto"/>
        <w:rPr>
          <w:szCs w:val="22"/>
          <w:lang w:val="lt-LT"/>
        </w:rPr>
      </w:pPr>
    </w:p>
    <w:p w:rsidR="00DE6781" w:rsidRDefault="00DE6781" w:rsidP="00DE6781">
      <w:pPr>
        <w:spacing w:line="240" w:lineRule="auto"/>
        <w:rPr>
          <w:szCs w:val="22"/>
          <w:lang w:val="lt-LT"/>
        </w:rPr>
      </w:pPr>
      <w:r>
        <w:rPr>
          <w:szCs w:val="22"/>
          <w:lang w:val="lt-LT"/>
        </w:rPr>
        <w:t>Podhaler prietaisą ir jo dėklą išmeskite po 1 savaitės nuo pirmojo panaudojimo.</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szCs w:val="22"/>
          <w:lang w:val="lt-LT"/>
        </w:rPr>
      </w:pPr>
      <w:r>
        <w:rPr>
          <w:b/>
          <w:szCs w:val="22"/>
          <w:lang w:val="lt-LT"/>
        </w:rPr>
        <w:t>6.4</w:t>
      </w:r>
      <w:r>
        <w:rPr>
          <w:b/>
          <w:szCs w:val="22"/>
          <w:lang w:val="lt-LT"/>
        </w:rPr>
        <w:tab/>
        <w:t>Specialios laikymo sąlygos</w:t>
      </w:r>
    </w:p>
    <w:p w:rsidR="00DE6781" w:rsidRDefault="00DE6781" w:rsidP="00DE6781">
      <w:pPr>
        <w:keepNext/>
        <w:widowControl w:val="0"/>
        <w:tabs>
          <w:tab w:val="clear" w:pos="567"/>
        </w:tabs>
        <w:spacing w:line="240" w:lineRule="auto"/>
        <w:rPr>
          <w:szCs w:val="22"/>
          <w:lang w:val="lt-LT"/>
        </w:rPr>
      </w:pPr>
    </w:p>
    <w:p w:rsidR="00DE6781" w:rsidRDefault="00DE6781" w:rsidP="00DE6781">
      <w:pPr>
        <w:spacing w:line="240" w:lineRule="auto"/>
        <w:rPr>
          <w:szCs w:val="22"/>
          <w:lang w:val="lt-LT"/>
        </w:rPr>
      </w:pPr>
      <w:r>
        <w:rPr>
          <w:szCs w:val="22"/>
          <w:lang w:val="lt-LT"/>
        </w:rPr>
        <w:t>TOBI Podhaler kapsules būtina visada laikyti lizdinėje plokštelėje, kad preparatas būtų apsaugotos nuo drėgmės. Kapsules išimti tik prieš pat vartojimą.</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b/>
          <w:szCs w:val="22"/>
          <w:lang w:val="lt-LT"/>
        </w:rPr>
      </w:pPr>
      <w:r>
        <w:rPr>
          <w:b/>
          <w:szCs w:val="22"/>
          <w:lang w:val="lt-LT"/>
        </w:rPr>
        <w:t>6.5</w:t>
      </w:r>
      <w:r>
        <w:rPr>
          <w:b/>
          <w:szCs w:val="22"/>
          <w:lang w:val="lt-LT"/>
        </w:rPr>
        <w:tab/>
        <w:t>Talpyklės pobūdis, jos turinys</w:t>
      </w:r>
    </w:p>
    <w:p w:rsidR="00DE6781" w:rsidRDefault="00DE6781" w:rsidP="00DE6781">
      <w:pPr>
        <w:keepNext/>
        <w:widowControl w:val="0"/>
        <w:tabs>
          <w:tab w:val="clear" w:pos="567"/>
        </w:tabs>
        <w:spacing w:line="240" w:lineRule="auto"/>
        <w:ind w:left="567" w:hanging="567"/>
        <w:outlineLvl w:val="0"/>
        <w:rPr>
          <w:szCs w:val="22"/>
          <w:lang w:val="lt-LT"/>
        </w:rPr>
      </w:pPr>
    </w:p>
    <w:p w:rsidR="00DE6781" w:rsidRDefault="00DE6781" w:rsidP="00DE6781">
      <w:pPr>
        <w:spacing w:line="240" w:lineRule="auto"/>
        <w:rPr>
          <w:szCs w:val="22"/>
          <w:lang w:val="lt-LT"/>
        </w:rPr>
      </w:pPr>
      <w:r>
        <w:rPr>
          <w:szCs w:val="22"/>
          <w:lang w:val="lt-LT"/>
        </w:rPr>
        <w:t>Kietos kapsulės tiekiamos PVC/PA/Aliuminio/PVC - PET/Aliuminio lizdinėse plokštelėse.</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Podhaler inhaliatorius ir jo laikymo dėklas pagaminti iš plastmasės (polipropileno).</w:t>
      </w:r>
    </w:p>
    <w:p w:rsidR="00DE6781" w:rsidRDefault="00DE6781" w:rsidP="00DE6781">
      <w:pPr>
        <w:spacing w:line="240" w:lineRule="auto"/>
        <w:rPr>
          <w:szCs w:val="22"/>
          <w:lang w:val="lt-LT"/>
        </w:rPr>
      </w:pPr>
    </w:p>
    <w:p w:rsidR="00DE6781" w:rsidRDefault="00DE6781" w:rsidP="00DE6781">
      <w:pPr>
        <w:spacing w:line="240" w:lineRule="auto"/>
        <w:rPr>
          <w:szCs w:val="22"/>
          <w:lang w:val="lt-LT"/>
        </w:rPr>
      </w:pPr>
      <w:r>
        <w:rPr>
          <w:szCs w:val="22"/>
          <w:lang w:val="lt-LT"/>
        </w:rPr>
        <w:t>TOBI Podhaler tiekiamas mėnesio pakuotėmis, kuriose yra 4 savaitinės kartono dėžutės ir atsarginis Podhaler inhaliatorius jo laikymo dėkle. Kiekvienoje savaitinėje kartono dėžutėje yra 56 kapsulės po 28 mg (7 lizdinės plokštelės po 8 kapsules kiekvienoje) ir Podhaler inhaliatorius jo laikymo dėkle.</w:t>
      </w:r>
    </w:p>
    <w:p w:rsidR="00DE6781" w:rsidRDefault="00DE6781" w:rsidP="00DE6781">
      <w:pPr>
        <w:spacing w:line="240" w:lineRule="auto"/>
        <w:rPr>
          <w:szCs w:val="22"/>
          <w:lang w:val="lt-LT"/>
        </w:rPr>
      </w:pPr>
    </w:p>
    <w:p w:rsidR="00DE6781" w:rsidRDefault="00DE6781" w:rsidP="00DE6781">
      <w:pPr>
        <w:keepNext/>
        <w:spacing w:line="240" w:lineRule="auto"/>
        <w:rPr>
          <w:szCs w:val="22"/>
          <w:lang w:val="lt-LT"/>
        </w:rPr>
      </w:pPr>
      <w:r>
        <w:rPr>
          <w:szCs w:val="22"/>
          <w:lang w:val="lt-LT"/>
        </w:rPr>
        <w:t>Pakuočių dydžiai:</w:t>
      </w:r>
    </w:p>
    <w:p w:rsidR="00DE6781" w:rsidRDefault="00DE6781" w:rsidP="00DE6781">
      <w:pPr>
        <w:spacing w:line="240" w:lineRule="auto"/>
        <w:rPr>
          <w:szCs w:val="22"/>
          <w:lang w:val="lt-LT"/>
        </w:rPr>
      </w:pPr>
      <w:r>
        <w:rPr>
          <w:szCs w:val="22"/>
          <w:lang w:val="lt-LT"/>
        </w:rPr>
        <w:t>56 kapsulės ir 1 inhaliatorius</w:t>
      </w:r>
    </w:p>
    <w:p w:rsidR="00DE6781" w:rsidRDefault="00DE6781" w:rsidP="00DE6781">
      <w:pPr>
        <w:spacing w:line="240" w:lineRule="auto"/>
        <w:rPr>
          <w:szCs w:val="22"/>
          <w:lang w:val="lt-LT"/>
        </w:rPr>
      </w:pPr>
      <w:r>
        <w:rPr>
          <w:szCs w:val="22"/>
          <w:lang w:val="lt-LT"/>
        </w:rPr>
        <w:t>224 (4 x 56) kapsulės ir 5 inhaliatoriai (mėnesio grupinė pakuotė)</w:t>
      </w:r>
    </w:p>
    <w:p w:rsidR="00DE6781" w:rsidRDefault="00DE6781" w:rsidP="00DE6781">
      <w:pPr>
        <w:spacing w:line="240" w:lineRule="auto"/>
        <w:rPr>
          <w:szCs w:val="22"/>
          <w:lang w:val="lt-LT"/>
        </w:rPr>
      </w:pPr>
      <w:r>
        <w:rPr>
          <w:szCs w:val="22"/>
          <w:lang w:val="lt-LT"/>
        </w:rPr>
        <w:lastRenderedPageBreak/>
        <w:t>448 (8 x 56) kapsulės ir 10 inhaliatorių (dvi mėnesio grupinės pakuotės, įpakuotos į foliją)</w:t>
      </w:r>
    </w:p>
    <w:p w:rsidR="00DE6781" w:rsidRDefault="00DE6781" w:rsidP="00DE6781">
      <w:pPr>
        <w:spacing w:line="240" w:lineRule="auto"/>
        <w:rPr>
          <w:iCs/>
          <w:szCs w:val="22"/>
          <w:lang w:val="lt-LT"/>
        </w:rPr>
      </w:pPr>
    </w:p>
    <w:p w:rsidR="00DE6781" w:rsidRDefault="00DE6781" w:rsidP="00DE6781">
      <w:pPr>
        <w:spacing w:line="240" w:lineRule="auto"/>
        <w:ind w:left="567" w:hanging="567"/>
        <w:rPr>
          <w:szCs w:val="22"/>
          <w:lang w:val="lt-LT"/>
        </w:rPr>
      </w:pPr>
      <w:r>
        <w:rPr>
          <w:szCs w:val="22"/>
          <w:lang w:val="lt-LT"/>
        </w:rPr>
        <w:t>Gali būti tiekiamos ne visų dydžių pakuotės.</w:t>
      </w: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outlineLvl w:val="0"/>
        <w:rPr>
          <w:b/>
          <w:szCs w:val="22"/>
          <w:lang w:val="lt-LT"/>
        </w:rPr>
      </w:pPr>
      <w:r>
        <w:rPr>
          <w:b/>
          <w:szCs w:val="22"/>
          <w:lang w:val="lt-LT"/>
        </w:rPr>
        <w:t>6.6</w:t>
      </w:r>
      <w:r>
        <w:rPr>
          <w:b/>
          <w:szCs w:val="22"/>
          <w:lang w:val="lt-LT"/>
        </w:rPr>
        <w:tab/>
      </w:r>
      <w:r>
        <w:rPr>
          <w:b/>
          <w:bCs/>
          <w:szCs w:val="22"/>
          <w:lang w:val="lt-LT"/>
        </w:rPr>
        <w:t>Specialūs reikalavimai atliekoms tvarkyti</w:t>
      </w:r>
    </w:p>
    <w:p w:rsidR="00DE6781" w:rsidRDefault="00DE6781" w:rsidP="00DE6781">
      <w:pPr>
        <w:keepNext/>
        <w:widowControl w:val="0"/>
        <w:tabs>
          <w:tab w:val="clear" w:pos="567"/>
        </w:tabs>
        <w:spacing w:line="240" w:lineRule="auto"/>
        <w:ind w:left="567" w:hanging="567"/>
        <w:outlineLvl w:val="0"/>
        <w:rPr>
          <w:szCs w:val="22"/>
          <w:lang w:val="lt-LT"/>
        </w:rPr>
      </w:pPr>
    </w:p>
    <w:p w:rsidR="00DE6781" w:rsidRDefault="00DE6781" w:rsidP="00DE6781">
      <w:pPr>
        <w:keepNext/>
        <w:spacing w:line="240" w:lineRule="auto"/>
        <w:rPr>
          <w:szCs w:val="22"/>
          <w:lang w:val="lt-LT"/>
        </w:rPr>
      </w:pPr>
      <w:r>
        <w:rPr>
          <w:szCs w:val="22"/>
          <w:lang w:val="lt-LT"/>
        </w:rPr>
        <w:t>Su Podhaler prietaisu galima vartoti tik TOBI Podhaler kapsules. Kitokio inhaliatoriaus naudoti negalima.</w:t>
      </w:r>
    </w:p>
    <w:p w:rsidR="00DE6781" w:rsidRDefault="00DE6781" w:rsidP="00DE6781">
      <w:pPr>
        <w:pStyle w:val="Text"/>
        <w:spacing w:before="0"/>
        <w:jc w:val="left"/>
        <w:rPr>
          <w:sz w:val="22"/>
          <w:szCs w:val="22"/>
          <w:lang w:val="lt-LT"/>
        </w:rPr>
      </w:pPr>
      <w:r>
        <w:rPr>
          <w:sz w:val="22"/>
          <w:szCs w:val="22"/>
          <w:lang w:val="lt-LT"/>
        </w:rPr>
        <w:t>TOBI Podhaler kapsules būtina visada laikyti lizdinėje plokštelėje (kapsulių dvisluoksnėje juostelėje), jas reikia išimti tik prieš pat vartojimą. Kiekvieną Podhaler prietaisą ir jo dėklą reikia naudoti septynias dienas, o po to išmesti ir pakeisti kitu. Nenaudojamą Podhaler prietaisą laikykite jo sandariai uždarytame dėkle.</w:t>
      </w:r>
    </w:p>
    <w:p w:rsidR="00DE6781" w:rsidRDefault="00DE6781" w:rsidP="00DE6781">
      <w:pPr>
        <w:pStyle w:val="Text"/>
        <w:spacing w:before="0"/>
        <w:jc w:val="left"/>
        <w:rPr>
          <w:sz w:val="22"/>
          <w:szCs w:val="22"/>
          <w:lang w:val="lt-LT"/>
        </w:rPr>
      </w:pPr>
    </w:p>
    <w:p w:rsidR="00DE6781" w:rsidRDefault="00DE6781" w:rsidP="00DE6781">
      <w:pPr>
        <w:pStyle w:val="Text"/>
        <w:keepNext/>
        <w:spacing w:before="0"/>
        <w:jc w:val="left"/>
        <w:rPr>
          <w:sz w:val="22"/>
          <w:szCs w:val="22"/>
          <w:lang w:val="lt-LT"/>
        </w:rPr>
      </w:pPr>
      <w:r>
        <w:rPr>
          <w:sz w:val="22"/>
          <w:szCs w:val="22"/>
          <w:lang w:val="lt-LT"/>
        </w:rPr>
        <w:t>Toliau pateikti pagrindiniai vaisto vartojimo nurodymai, išsamesnė informacija pateikiama Pakuotės lapelyje.</w:t>
      </w:r>
    </w:p>
    <w:p w:rsidR="00DE6781" w:rsidRDefault="00DE6781" w:rsidP="00DE6781">
      <w:pPr>
        <w:pStyle w:val="Text"/>
        <w:keepNext/>
        <w:tabs>
          <w:tab w:val="left" w:pos="567"/>
        </w:tabs>
        <w:spacing w:before="0"/>
        <w:ind w:left="567" w:hanging="567"/>
        <w:jc w:val="left"/>
        <w:rPr>
          <w:sz w:val="22"/>
          <w:szCs w:val="22"/>
          <w:lang w:val="lt-LT"/>
        </w:rPr>
      </w:pPr>
    </w:p>
    <w:p w:rsidR="00DE6781" w:rsidRDefault="00DE6781" w:rsidP="00DE6781">
      <w:pPr>
        <w:widowControl w:val="0"/>
        <w:tabs>
          <w:tab w:val="clear" w:pos="567"/>
        </w:tabs>
        <w:adjustRightInd w:val="0"/>
        <w:spacing w:line="240" w:lineRule="auto"/>
        <w:ind w:left="567" w:right="-2" w:hanging="567"/>
        <w:textAlignment w:val="baseline"/>
        <w:rPr>
          <w:szCs w:val="22"/>
          <w:lang w:val="lt-LT"/>
        </w:rPr>
      </w:pPr>
      <w:r>
        <w:rPr>
          <w:szCs w:val="22"/>
          <w:lang w:val="lt-LT"/>
        </w:rPr>
        <w:t>1.</w:t>
      </w:r>
      <w:r>
        <w:rPr>
          <w:szCs w:val="22"/>
          <w:lang w:val="lt-LT"/>
        </w:rPr>
        <w:tab/>
        <w:t>Nusiplaukite ir visiškai nusausinkite rankas.</w:t>
      </w:r>
    </w:p>
    <w:p w:rsidR="00DE6781" w:rsidRDefault="00DE6781" w:rsidP="00DE6781">
      <w:pPr>
        <w:widowControl w:val="0"/>
        <w:tabs>
          <w:tab w:val="clear" w:pos="567"/>
        </w:tabs>
        <w:adjustRightInd w:val="0"/>
        <w:spacing w:line="240" w:lineRule="auto"/>
        <w:ind w:left="567" w:hanging="567"/>
        <w:textAlignment w:val="baseline"/>
        <w:rPr>
          <w:szCs w:val="22"/>
          <w:lang w:val="lt-LT"/>
        </w:rPr>
      </w:pPr>
      <w:r>
        <w:rPr>
          <w:szCs w:val="22"/>
          <w:lang w:val="lt-LT"/>
        </w:rPr>
        <w:t>2.</w:t>
      </w:r>
      <w:r>
        <w:rPr>
          <w:szCs w:val="22"/>
          <w:lang w:val="lt-LT"/>
        </w:rPr>
        <w:tab/>
        <w:t xml:space="preserve">Prieš pat naudojimą išimkite </w:t>
      </w:r>
      <w:r>
        <w:rPr>
          <w:iCs/>
          <w:szCs w:val="22"/>
          <w:lang w:val="lt-LT"/>
        </w:rPr>
        <w:t>Podhaler prietaisą iš jo dėklo</w:t>
      </w:r>
      <w:r>
        <w:rPr>
          <w:szCs w:val="22"/>
          <w:lang w:val="lt-LT"/>
        </w:rPr>
        <w:t>. Apžiūrėkite inhaliatorių ir įsitikinkite, kad jis nėra pažeistas ar nešvarus.</w:t>
      </w:r>
    </w:p>
    <w:p w:rsidR="00DE6781" w:rsidRDefault="00DE6781" w:rsidP="00DE6781">
      <w:pPr>
        <w:widowControl w:val="0"/>
        <w:tabs>
          <w:tab w:val="clear" w:pos="567"/>
        </w:tabs>
        <w:adjustRightInd w:val="0"/>
        <w:spacing w:line="240" w:lineRule="auto"/>
        <w:ind w:left="567" w:hanging="567"/>
        <w:textAlignment w:val="baseline"/>
        <w:rPr>
          <w:szCs w:val="22"/>
          <w:lang w:val="lt-LT"/>
        </w:rPr>
      </w:pPr>
      <w:r>
        <w:rPr>
          <w:szCs w:val="22"/>
          <w:lang w:val="lt-LT"/>
        </w:rPr>
        <w:t>3.</w:t>
      </w:r>
      <w:r>
        <w:rPr>
          <w:szCs w:val="22"/>
          <w:lang w:val="lt-LT"/>
        </w:rPr>
        <w:tab/>
        <w:t>Laikydami inhaliatoriaus korpusą atsukite ir nuimkite kandiklį nuo korpuso. Padėkite kandiklį šalia ant švaraus sauso paviršiaus.</w:t>
      </w:r>
    </w:p>
    <w:p w:rsidR="00DE6781" w:rsidRDefault="00DE6781" w:rsidP="00DE6781">
      <w:pPr>
        <w:widowControl w:val="0"/>
        <w:tabs>
          <w:tab w:val="clear" w:pos="567"/>
        </w:tabs>
        <w:adjustRightInd w:val="0"/>
        <w:spacing w:line="240" w:lineRule="auto"/>
        <w:ind w:left="567" w:hanging="567"/>
        <w:textAlignment w:val="baseline"/>
        <w:rPr>
          <w:szCs w:val="22"/>
          <w:lang w:val="lt-LT"/>
        </w:rPr>
      </w:pPr>
      <w:r>
        <w:rPr>
          <w:rStyle w:val="TextChar"/>
          <w:szCs w:val="22"/>
          <w:lang w:val="lt-LT"/>
        </w:rPr>
        <w:t>4.</w:t>
      </w:r>
      <w:r>
        <w:rPr>
          <w:rStyle w:val="TextChar"/>
          <w:szCs w:val="22"/>
          <w:lang w:val="lt-LT"/>
        </w:rPr>
        <w:tab/>
        <w:t xml:space="preserve">Atskirkite iš kapsulių </w:t>
      </w:r>
      <w:r>
        <w:rPr>
          <w:szCs w:val="22"/>
          <w:lang w:val="lt-LT"/>
        </w:rPr>
        <w:t>dvisluoksnės juostelės</w:t>
      </w:r>
      <w:r>
        <w:rPr>
          <w:rStyle w:val="TextChar"/>
          <w:szCs w:val="22"/>
          <w:lang w:val="lt-LT"/>
        </w:rPr>
        <w:t xml:space="preserve"> rytinę ir vakarinę vaisto dozes.</w:t>
      </w:r>
    </w:p>
    <w:p w:rsidR="00DE6781" w:rsidRDefault="00DE6781" w:rsidP="00DE6781">
      <w:pPr>
        <w:widowControl w:val="0"/>
        <w:adjustRightInd w:val="0"/>
        <w:spacing w:line="240" w:lineRule="auto"/>
        <w:ind w:left="567" w:hanging="567"/>
        <w:textAlignment w:val="baseline"/>
        <w:rPr>
          <w:szCs w:val="22"/>
          <w:lang w:val="lt-LT"/>
        </w:rPr>
      </w:pPr>
      <w:r>
        <w:rPr>
          <w:rStyle w:val="TextChar"/>
          <w:szCs w:val="22"/>
          <w:lang w:val="lt-LT"/>
        </w:rPr>
        <w:t>5.</w:t>
      </w:r>
      <w:r>
        <w:rPr>
          <w:rStyle w:val="TextChar"/>
          <w:szCs w:val="22"/>
          <w:lang w:val="lt-LT"/>
        </w:rPr>
        <w:tab/>
        <w:t xml:space="preserve">Atplėškite kapsulių </w:t>
      </w:r>
      <w:r>
        <w:rPr>
          <w:szCs w:val="22"/>
          <w:lang w:val="lt-LT"/>
        </w:rPr>
        <w:t>dvisluoksnės juostelės foliją, kad pasirodytų viena TOBI Podhaler kapsulė, ir išimkite ją iš juostelės.</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6.</w:t>
      </w:r>
      <w:r>
        <w:rPr>
          <w:szCs w:val="22"/>
          <w:lang w:val="lt-LT"/>
        </w:rPr>
        <w:tab/>
        <w:t>Nedelsdami įdėkite kapsulę į inhaliatoriaus kamerą. Uždėkite kandiklį ir stipriai jį prisukite, kol sustos. Neperspauskite.</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7.</w:t>
      </w:r>
      <w:r>
        <w:rPr>
          <w:szCs w:val="22"/>
          <w:lang w:val="lt-LT"/>
        </w:rPr>
        <w:tab/>
        <w:t>Norėdami pradurti kapsulę, inhaliatorių laikykite kandikliu žemyn, nykščiu stipriai paspauskite mygtuką iki galo, tuomet mygtuką atleiskite.</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8.</w:t>
      </w:r>
      <w:r>
        <w:rPr>
          <w:szCs w:val="22"/>
          <w:lang w:val="lt-LT"/>
        </w:rPr>
        <w:tab/>
        <w:t>Visiškai iškvėpkite atokiau nuo inhaliatoriaus.</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9.</w:t>
      </w:r>
      <w:r>
        <w:rPr>
          <w:szCs w:val="22"/>
          <w:lang w:val="lt-LT"/>
        </w:rPr>
        <w:tab/>
        <w:t>Burna sandariai apžiokite kandiklį. Giliai įkvėpkite miltelius vienu nenutrūkstamu įkvėpimu.</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10.</w:t>
      </w:r>
      <w:r>
        <w:rPr>
          <w:szCs w:val="22"/>
          <w:lang w:val="lt-LT"/>
        </w:rPr>
        <w:tab/>
        <w:t>Išimkite inhaliatorių iš burnos ir sulaikykite kvėpavimą maždaug 5 sekundes, tuomet normaliai iškvėpkite atokiau nuo inhaliatoriaus.</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11.</w:t>
      </w:r>
      <w:r>
        <w:rPr>
          <w:szCs w:val="22"/>
          <w:lang w:val="lt-LT"/>
        </w:rPr>
        <w:tab/>
        <w:t>Keletą kartų įprastai įkvėpę atokiau nuo inhaliatoriaus, antrą kartą įkvėpkite miltelių iš tos pačios kapsulės.</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12.</w:t>
      </w:r>
      <w:r>
        <w:rPr>
          <w:szCs w:val="22"/>
          <w:lang w:val="lt-LT"/>
        </w:rPr>
        <w:tab/>
        <w:t>Atsukite kandiklį ir išimkite kapsulę iš kameros.</w:t>
      </w:r>
    </w:p>
    <w:p w:rsidR="00DE6781" w:rsidRDefault="00DE6781" w:rsidP="00DE6781">
      <w:pPr>
        <w:widowControl w:val="0"/>
        <w:adjustRightInd w:val="0"/>
        <w:spacing w:line="240" w:lineRule="auto"/>
        <w:ind w:left="567" w:hanging="567"/>
        <w:textAlignment w:val="baseline"/>
        <w:rPr>
          <w:szCs w:val="22"/>
          <w:lang w:val="lt-LT"/>
        </w:rPr>
      </w:pPr>
      <w:r>
        <w:rPr>
          <w:szCs w:val="22"/>
          <w:lang w:val="lt-LT"/>
        </w:rPr>
        <w:t>13.</w:t>
      </w:r>
      <w:r>
        <w:rPr>
          <w:szCs w:val="22"/>
          <w:lang w:val="lt-LT"/>
        </w:rPr>
        <w:tab/>
        <w:t>Apžiūrėkite panaudotą kapsulę. Ji turi būti pradurta ir tuščia.</w:t>
      </w:r>
    </w:p>
    <w:p w:rsidR="00DE6781" w:rsidRDefault="00DE6781" w:rsidP="00DE6781">
      <w:pPr>
        <w:widowControl w:val="0"/>
        <w:numPr>
          <w:ilvl w:val="0"/>
          <w:numId w:val="3"/>
        </w:numPr>
        <w:tabs>
          <w:tab w:val="clear" w:pos="357"/>
          <w:tab w:val="clear" w:pos="567"/>
          <w:tab w:val="left" w:pos="1134"/>
        </w:tabs>
        <w:adjustRightInd w:val="0"/>
        <w:spacing w:line="240" w:lineRule="auto"/>
        <w:ind w:left="1134" w:hanging="567"/>
        <w:textAlignment w:val="baseline"/>
        <w:rPr>
          <w:szCs w:val="22"/>
          <w:lang w:val="lt-LT"/>
        </w:rPr>
      </w:pPr>
      <w:r>
        <w:rPr>
          <w:szCs w:val="22"/>
          <w:lang w:val="lt-LT"/>
        </w:rPr>
        <w:t>Jei kapsulė yra pradurta, tačiau joje dar yra šiek tiek miltelių, įdėkite ją atgal į inhaliatorių ir dar du kartus įkvėpkite miltelių iš šios kapsulės. Vėl apžiūrėkite kapsulę.</w:t>
      </w:r>
    </w:p>
    <w:p w:rsidR="00DE6781" w:rsidRDefault="00DE6781" w:rsidP="00DE6781">
      <w:pPr>
        <w:widowControl w:val="0"/>
        <w:numPr>
          <w:ilvl w:val="0"/>
          <w:numId w:val="3"/>
        </w:numPr>
        <w:tabs>
          <w:tab w:val="clear" w:pos="357"/>
          <w:tab w:val="clear" w:pos="567"/>
          <w:tab w:val="left" w:pos="1134"/>
        </w:tabs>
        <w:adjustRightInd w:val="0"/>
        <w:spacing w:line="240" w:lineRule="auto"/>
        <w:ind w:left="1134" w:hanging="567"/>
        <w:textAlignment w:val="baseline"/>
        <w:rPr>
          <w:szCs w:val="22"/>
          <w:lang w:val="lt-LT"/>
        </w:rPr>
      </w:pPr>
      <w:r>
        <w:rPr>
          <w:szCs w:val="22"/>
          <w:lang w:val="lt-LT"/>
        </w:rPr>
        <w:t>Jei kapsulė nepradurta, įdėkite ją atgal į inhaliatorių, stipriai paspauskite mygtuką iki galo ir dar du kartus įkvėpkite miltelių iš šios kapsulės. Jeigu po to kapsulė vis dar yra pilna ir atrodo nepradurta, pakeiskite inhaliatorių atsarginiu ir pabandykite dar kartą.</w:t>
      </w:r>
    </w:p>
    <w:p w:rsidR="00DE6781" w:rsidRDefault="00DE6781" w:rsidP="00DE6781">
      <w:pPr>
        <w:widowControl w:val="0"/>
        <w:tabs>
          <w:tab w:val="clear" w:pos="567"/>
        </w:tabs>
        <w:adjustRightInd w:val="0"/>
        <w:spacing w:line="240" w:lineRule="auto"/>
        <w:ind w:left="567" w:hanging="567"/>
        <w:textAlignment w:val="baseline"/>
        <w:rPr>
          <w:szCs w:val="22"/>
          <w:lang w:val="lt-LT"/>
        </w:rPr>
      </w:pPr>
      <w:r>
        <w:rPr>
          <w:szCs w:val="22"/>
          <w:lang w:val="lt-LT"/>
        </w:rPr>
        <w:t>14.</w:t>
      </w:r>
      <w:r>
        <w:rPr>
          <w:szCs w:val="22"/>
          <w:lang w:val="lt-LT"/>
        </w:rPr>
        <w:tab/>
        <w:t>Tuščią kapsulę išmeskite.</w:t>
      </w:r>
    </w:p>
    <w:p w:rsidR="00DE6781" w:rsidRDefault="00DE6781" w:rsidP="00DE6781">
      <w:pPr>
        <w:widowControl w:val="0"/>
        <w:tabs>
          <w:tab w:val="clear" w:pos="567"/>
        </w:tabs>
        <w:adjustRightInd w:val="0"/>
        <w:spacing w:line="240" w:lineRule="auto"/>
        <w:ind w:left="567" w:hanging="567"/>
        <w:textAlignment w:val="baseline"/>
        <w:rPr>
          <w:szCs w:val="22"/>
          <w:lang w:val="lt-LT"/>
        </w:rPr>
      </w:pPr>
      <w:r>
        <w:rPr>
          <w:szCs w:val="22"/>
          <w:lang w:val="lt-LT"/>
        </w:rPr>
        <w:t>15.</w:t>
      </w:r>
      <w:r>
        <w:rPr>
          <w:szCs w:val="22"/>
          <w:lang w:val="lt-LT"/>
        </w:rPr>
        <w:tab/>
        <w:t>Pakartokite veiksmus pradėdami nuo 5-ojo nurodymo ir įkvėpkite miltelių iš likusių trijų tos pačios dozės kapsulių.</w:t>
      </w:r>
    </w:p>
    <w:p w:rsidR="00DE6781" w:rsidRDefault="00DE6781" w:rsidP="00DE6781">
      <w:pPr>
        <w:widowControl w:val="0"/>
        <w:tabs>
          <w:tab w:val="clear" w:pos="567"/>
        </w:tabs>
        <w:adjustRightInd w:val="0"/>
        <w:spacing w:line="240" w:lineRule="auto"/>
        <w:ind w:left="567" w:hanging="567"/>
        <w:textAlignment w:val="baseline"/>
        <w:rPr>
          <w:szCs w:val="22"/>
          <w:lang w:val="lt-LT"/>
        </w:rPr>
      </w:pPr>
      <w:r>
        <w:rPr>
          <w:szCs w:val="22"/>
          <w:lang w:val="lt-LT"/>
        </w:rPr>
        <w:t>16.</w:t>
      </w:r>
      <w:r>
        <w:rPr>
          <w:szCs w:val="22"/>
          <w:lang w:val="lt-LT"/>
        </w:rPr>
        <w:tab/>
        <w:t>Uždėkite kandiklį ir stipriai jį prisukite, kol sustos. Kai inhaliuosite visą dozę (4 kapsules), nuvalykite kandiklį švariu sausu audiniu.</w:t>
      </w:r>
    </w:p>
    <w:p w:rsidR="00DE6781" w:rsidRDefault="00DE6781" w:rsidP="00DE6781">
      <w:pPr>
        <w:widowControl w:val="0"/>
        <w:tabs>
          <w:tab w:val="clear" w:pos="567"/>
        </w:tabs>
        <w:adjustRightInd w:val="0"/>
        <w:spacing w:line="240" w:lineRule="auto"/>
        <w:ind w:left="567" w:hanging="567"/>
        <w:textAlignment w:val="baseline"/>
        <w:rPr>
          <w:szCs w:val="22"/>
          <w:lang w:val="lt-LT"/>
        </w:rPr>
      </w:pPr>
      <w:r>
        <w:rPr>
          <w:szCs w:val="22"/>
          <w:lang w:val="lt-LT"/>
        </w:rPr>
        <w:t>17.</w:t>
      </w:r>
      <w:r>
        <w:rPr>
          <w:szCs w:val="22"/>
          <w:lang w:val="lt-LT"/>
        </w:rPr>
        <w:tab/>
        <w:t>Įdėkite inhaliatorių atgal į laikymo dėklą ir sandariai uždarykite. Inhaliatoriaus niekada negalima plauti vandeniu</w:t>
      </w:r>
      <w:r>
        <w:rPr>
          <w:bCs/>
          <w:szCs w:val="22"/>
          <w:lang w:val="lt-LT"/>
        </w:rPr>
        <w:t>.</w:t>
      </w:r>
    </w:p>
    <w:p w:rsidR="00DE6781" w:rsidRDefault="00DE6781" w:rsidP="00DE6781">
      <w:pPr>
        <w:pStyle w:val="Text"/>
        <w:tabs>
          <w:tab w:val="left" w:pos="567"/>
        </w:tabs>
        <w:spacing w:before="0"/>
        <w:ind w:left="567" w:hanging="567"/>
        <w:jc w:val="left"/>
        <w:rPr>
          <w:sz w:val="22"/>
          <w:szCs w:val="22"/>
          <w:lang w:val="lt-LT"/>
        </w:rPr>
      </w:pPr>
    </w:p>
    <w:p w:rsidR="00DE6781" w:rsidRDefault="00DE6781" w:rsidP="00DE6781">
      <w:pPr>
        <w:pStyle w:val="Text"/>
        <w:tabs>
          <w:tab w:val="left" w:pos="567"/>
        </w:tabs>
        <w:spacing w:before="0"/>
        <w:ind w:left="567" w:hanging="567"/>
        <w:jc w:val="left"/>
        <w:rPr>
          <w:sz w:val="22"/>
          <w:szCs w:val="22"/>
          <w:lang w:val="lt-LT"/>
        </w:rPr>
      </w:pPr>
      <w:r>
        <w:rPr>
          <w:sz w:val="22"/>
          <w:szCs w:val="22"/>
          <w:lang w:val="lt-LT"/>
        </w:rPr>
        <w:t>Taip pat žr. 4.2 skyrių.</w:t>
      </w:r>
    </w:p>
    <w:p w:rsidR="00DE6781" w:rsidRDefault="00DE6781" w:rsidP="00DE6781">
      <w:pPr>
        <w:spacing w:line="240" w:lineRule="auto"/>
        <w:rPr>
          <w:szCs w:val="22"/>
          <w:lang w:val="lt-LT"/>
        </w:rPr>
      </w:pPr>
    </w:p>
    <w:p w:rsidR="00DE6781" w:rsidRDefault="00DE6781" w:rsidP="00DE6781">
      <w:pPr>
        <w:spacing w:line="240" w:lineRule="auto"/>
        <w:ind w:left="567" w:hanging="567"/>
        <w:rPr>
          <w:szCs w:val="22"/>
          <w:lang w:val="lt-LT"/>
        </w:rPr>
      </w:pPr>
      <w:r>
        <w:rPr>
          <w:szCs w:val="22"/>
          <w:lang w:val="lt-LT"/>
        </w:rPr>
        <w:t>Nesuvartotą preparatą ar atliekas reikia tvarkyti laikantis vietinių reikalavimų.</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szCs w:val="22"/>
          <w:lang w:val="lt-LT"/>
        </w:rPr>
      </w:pPr>
      <w:r>
        <w:rPr>
          <w:b/>
          <w:szCs w:val="22"/>
          <w:lang w:val="lt-LT"/>
        </w:rPr>
        <w:lastRenderedPageBreak/>
        <w:t>7.</w:t>
      </w:r>
      <w:r>
        <w:rPr>
          <w:b/>
          <w:szCs w:val="22"/>
          <w:lang w:val="lt-LT"/>
        </w:rPr>
        <w:tab/>
      </w:r>
      <w:r>
        <w:rPr>
          <w:b/>
          <w:caps/>
          <w:szCs w:val="22"/>
          <w:lang w:val="lt-LT"/>
        </w:rPr>
        <w:t>RINKODAROS TEISĖS TURĖTOJAS</w:t>
      </w:r>
    </w:p>
    <w:p w:rsidR="00DE6781" w:rsidRDefault="00DE6781" w:rsidP="00DE6781">
      <w:pPr>
        <w:keepNext/>
        <w:widowControl w:val="0"/>
        <w:tabs>
          <w:tab w:val="clear" w:pos="567"/>
        </w:tabs>
        <w:spacing w:line="240" w:lineRule="auto"/>
        <w:rPr>
          <w:szCs w:val="22"/>
          <w:lang w:val="lt-LT"/>
        </w:rPr>
      </w:pPr>
    </w:p>
    <w:p w:rsidR="00DE6781" w:rsidRDefault="00DE6781" w:rsidP="00DE6781">
      <w:pPr>
        <w:keepNext/>
        <w:spacing w:line="240" w:lineRule="auto"/>
        <w:rPr>
          <w:color w:val="000000"/>
          <w:szCs w:val="22"/>
          <w:lang w:val="lt-LT"/>
        </w:rPr>
      </w:pPr>
      <w:r>
        <w:rPr>
          <w:color w:val="000000"/>
          <w:szCs w:val="22"/>
          <w:lang w:val="lt-LT"/>
        </w:rPr>
        <w:t>Novartis Europharm Limited</w:t>
      </w:r>
    </w:p>
    <w:p w:rsidR="00DE6781" w:rsidRDefault="00DE6781" w:rsidP="00DE6781">
      <w:pPr>
        <w:keepNext/>
        <w:spacing w:line="240" w:lineRule="auto"/>
        <w:rPr>
          <w:color w:val="000000"/>
          <w:szCs w:val="22"/>
          <w:lang w:val="lt-LT"/>
        </w:rPr>
      </w:pPr>
      <w:r>
        <w:rPr>
          <w:color w:val="000000"/>
          <w:szCs w:val="22"/>
          <w:lang w:val="lt-LT"/>
        </w:rPr>
        <w:t>Wimblehurst Road</w:t>
      </w:r>
    </w:p>
    <w:p w:rsidR="00DE6781" w:rsidRDefault="00DE6781" w:rsidP="00DE6781">
      <w:pPr>
        <w:keepNext/>
        <w:spacing w:line="240" w:lineRule="auto"/>
        <w:rPr>
          <w:color w:val="000000"/>
          <w:szCs w:val="22"/>
          <w:lang w:val="lt-LT"/>
        </w:rPr>
      </w:pPr>
      <w:r>
        <w:rPr>
          <w:color w:val="000000"/>
          <w:szCs w:val="22"/>
          <w:lang w:val="lt-LT"/>
        </w:rPr>
        <w:t>Horsham</w:t>
      </w:r>
    </w:p>
    <w:p w:rsidR="00DE6781" w:rsidRDefault="00DE6781" w:rsidP="00DE6781">
      <w:pPr>
        <w:keepNext/>
        <w:spacing w:line="240" w:lineRule="auto"/>
        <w:rPr>
          <w:color w:val="000000"/>
          <w:szCs w:val="22"/>
          <w:lang w:val="lt-LT"/>
        </w:rPr>
      </w:pPr>
      <w:r>
        <w:rPr>
          <w:color w:val="000000"/>
          <w:szCs w:val="22"/>
          <w:lang w:val="lt-LT"/>
        </w:rPr>
        <w:t>West Sussex, RH12 5AB</w:t>
      </w:r>
    </w:p>
    <w:p w:rsidR="00DE6781" w:rsidRDefault="00DE6781" w:rsidP="00DE6781">
      <w:pPr>
        <w:spacing w:line="240" w:lineRule="auto"/>
        <w:rPr>
          <w:color w:val="000000"/>
          <w:szCs w:val="22"/>
          <w:lang w:val="lt-LT"/>
        </w:rPr>
      </w:pPr>
      <w:r>
        <w:rPr>
          <w:color w:val="000000"/>
          <w:szCs w:val="22"/>
          <w:lang w:val="lt-LT"/>
        </w:rPr>
        <w:t>Jungtinė Karalystė</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b/>
          <w:szCs w:val="22"/>
          <w:lang w:val="lt-LT"/>
        </w:rPr>
      </w:pPr>
      <w:r>
        <w:rPr>
          <w:b/>
          <w:szCs w:val="22"/>
          <w:lang w:val="lt-LT"/>
        </w:rPr>
        <w:t>8.</w:t>
      </w:r>
      <w:r>
        <w:rPr>
          <w:b/>
          <w:szCs w:val="22"/>
          <w:lang w:val="lt-LT"/>
        </w:rPr>
        <w:tab/>
      </w:r>
      <w:r>
        <w:rPr>
          <w:b/>
          <w:caps/>
          <w:szCs w:val="22"/>
          <w:lang w:val="lt-LT"/>
        </w:rPr>
        <w:t>RINKODAROS pažymėjimo numeris</w:t>
      </w:r>
      <w:r>
        <w:rPr>
          <w:b/>
          <w:szCs w:val="22"/>
          <w:lang w:val="lt-LT"/>
        </w:rPr>
        <w:t xml:space="preserve"> </w:t>
      </w:r>
      <w:r>
        <w:rPr>
          <w:b/>
          <w:caps/>
          <w:szCs w:val="22"/>
          <w:lang w:val="lt-LT"/>
        </w:rPr>
        <w:t>(-IAI)</w:t>
      </w:r>
    </w:p>
    <w:p w:rsidR="00DE6781" w:rsidRDefault="00DE6781" w:rsidP="00DE6781">
      <w:pPr>
        <w:keepNext/>
        <w:widowControl w:val="0"/>
        <w:tabs>
          <w:tab w:val="clear" w:pos="567"/>
        </w:tabs>
        <w:spacing w:line="240" w:lineRule="auto"/>
        <w:rPr>
          <w:szCs w:val="22"/>
          <w:lang w:val="lt-LT"/>
        </w:rPr>
      </w:pPr>
    </w:p>
    <w:p w:rsidR="00DE6781" w:rsidRDefault="00DE6781" w:rsidP="00DE6781">
      <w:pPr>
        <w:tabs>
          <w:tab w:val="clear" w:pos="567"/>
        </w:tabs>
        <w:spacing w:line="240" w:lineRule="auto"/>
        <w:outlineLvl w:val="0"/>
        <w:rPr>
          <w:szCs w:val="22"/>
          <w:lang w:val="lt-LT"/>
        </w:rPr>
      </w:pPr>
      <w:r w:rsidRPr="00DE6781">
        <w:rPr>
          <w:noProof/>
          <w:szCs w:val="22"/>
          <w:lang w:val="lt-LT"/>
        </w:rPr>
        <w:t>EU/1/10/652/001</w:t>
      </w:r>
      <w:r w:rsidRPr="00DE6781">
        <w:rPr>
          <w:noProof/>
          <w:szCs w:val="22"/>
          <w:lang w:val="lt-LT"/>
        </w:rPr>
        <w:noBreakHyphen/>
        <w:t>003</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szCs w:val="22"/>
          <w:lang w:val="lt-LT"/>
        </w:rPr>
      </w:pPr>
      <w:r>
        <w:rPr>
          <w:b/>
          <w:szCs w:val="22"/>
          <w:lang w:val="lt-LT"/>
        </w:rPr>
        <w:t>9.</w:t>
      </w:r>
      <w:r>
        <w:rPr>
          <w:b/>
          <w:szCs w:val="22"/>
          <w:lang w:val="lt-LT"/>
        </w:rPr>
        <w:tab/>
      </w:r>
      <w:r>
        <w:rPr>
          <w:b/>
          <w:caps/>
          <w:szCs w:val="22"/>
          <w:lang w:val="lt-LT"/>
        </w:rPr>
        <w:t>rINKODAROS TEISĖS SUTEIKIMO / ATNAUJINIMO data</w:t>
      </w:r>
    </w:p>
    <w:p w:rsidR="00DE6781" w:rsidRDefault="00DE6781" w:rsidP="00DE6781">
      <w:pPr>
        <w:keepNext/>
        <w:widowControl w:val="0"/>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2011.07.20</w:t>
      </w:r>
    </w:p>
    <w:p w:rsidR="00DE6781" w:rsidRDefault="00DE6781" w:rsidP="00DE6781">
      <w:pPr>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p>
    <w:p w:rsidR="00DE6781" w:rsidRDefault="00DE6781" w:rsidP="00DE6781">
      <w:pPr>
        <w:keepNext/>
        <w:widowControl w:val="0"/>
        <w:tabs>
          <w:tab w:val="clear" w:pos="567"/>
        </w:tabs>
        <w:spacing w:line="240" w:lineRule="auto"/>
        <w:ind w:left="567" w:hanging="567"/>
        <w:rPr>
          <w:b/>
          <w:szCs w:val="22"/>
          <w:lang w:val="lt-LT"/>
        </w:rPr>
      </w:pPr>
      <w:r>
        <w:rPr>
          <w:b/>
          <w:szCs w:val="22"/>
          <w:lang w:val="lt-LT"/>
        </w:rPr>
        <w:t>10.</w:t>
      </w:r>
      <w:r>
        <w:rPr>
          <w:b/>
          <w:szCs w:val="22"/>
          <w:lang w:val="lt-LT"/>
        </w:rPr>
        <w:tab/>
      </w:r>
      <w:r>
        <w:rPr>
          <w:b/>
          <w:caps/>
          <w:szCs w:val="22"/>
          <w:lang w:val="lt-LT"/>
        </w:rPr>
        <w:t>teksto peržiūros data</w:t>
      </w:r>
    </w:p>
    <w:p w:rsidR="00DE6781" w:rsidRDefault="00DE6781" w:rsidP="00DE6781">
      <w:pPr>
        <w:keepNext/>
        <w:widowControl w:val="0"/>
        <w:tabs>
          <w:tab w:val="clear" w:pos="567"/>
        </w:tabs>
        <w:spacing w:line="240" w:lineRule="auto"/>
        <w:rPr>
          <w:szCs w:val="22"/>
          <w:lang w:val="lt-LT"/>
        </w:rPr>
      </w:pPr>
    </w:p>
    <w:p w:rsidR="00DE6781" w:rsidRDefault="00DE6781" w:rsidP="00DE6781">
      <w:pPr>
        <w:tabs>
          <w:tab w:val="clear" w:pos="567"/>
        </w:tabs>
        <w:spacing w:line="240" w:lineRule="auto"/>
        <w:rPr>
          <w:szCs w:val="22"/>
          <w:lang w:val="lt-LT"/>
        </w:rPr>
      </w:pPr>
      <w:r>
        <w:rPr>
          <w:szCs w:val="22"/>
          <w:lang w:val="lt-LT"/>
        </w:rPr>
        <w:t>2013-01-18</w:t>
      </w:r>
    </w:p>
    <w:p w:rsidR="00DE6781" w:rsidRDefault="00DE6781" w:rsidP="00DE6781">
      <w:pPr>
        <w:numPr>
          <w:ilvl w:val="12"/>
          <w:numId w:val="0"/>
        </w:numPr>
        <w:tabs>
          <w:tab w:val="clear" w:pos="567"/>
        </w:tabs>
        <w:spacing w:line="240" w:lineRule="auto"/>
        <w:ind w:right="-2"/>
        <w:rPr>
          <w:szCs w:val="22"/>
          <w:lang w:val="lt-LT"/>
        </w:rPr>
      </w:pPr>
      <w:r>
        <w:rPr>
          <w:iCs/>
          <w:szCs w:val="22"/>
          <w:lang w:val="lt-LT"/>
        </w:rPr>
        <w:t xml:space="preserve">Naujausią išsamią informaciją apie šį preparatą galite rasti Europos vaistų agentūros interneto svetainėje </w:t>
      </w:r>
      <w:r>
        <w:rPr>
          <w:szCs w:val="22"/>
          <w:lang w:val="lt-LT"/>
        </w:rPr>
        <w:t>http://www.ema.europa.eu</w:t>
      </w:r>
    </w:p>
    <w:p w:rsidR="005015F8" w:rsidRPr="00DE6781" w:rsidRDefault="005015F8">
      <w:pPr>
        <w:rPr>
          <w:lang w:val="lt-LT"/>
        </w:rPr>
      </w:pPr>
    </w:p>
    <w:sectPr w:rsidR="005015F8" w:rsidRPr="00DE6781">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574B"/>
    <w:multiLevelType w:val="hybridMultilevel"/>
    <w:tmpl w:val="58E83846"/>
    <w:lvl w:ilvl="0" w:tplc="1FC880F6">
      <w:start w:val="2"/>
      <w:numFmt w:val="bullet"/>
      <w:lvlText w:val="-"/>
      <w:lvlJc w:val="left"/>
      <w:pPr>
        <w:tabs>
          <w:tab w:val="num" w:pos="567"/>
        </w:tabs>
        <w:ind w:left="1134" w:hanging="567"/>
      </w:pPr>
      <w:rPr>
        <w:rFonts w:ascii="Times New Roman" w:hAnsi="Times New Roman" w:hint="default"/>
        <w:u w:val="none" w:color="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98593F"/>
    <w:multiLevelType w:val="hybridMultilevel"/>
    <w:tmpl w:val="FCB09002"/>
    <w:lvl w:ilvl="0" w:tplc="FA90E9B4">
      <w:start w:val="1"/>
      <w:numFmt w:val="bullet"/>
      <w:lvlText w:val=""/>
      <w:lvlJc w:val="left"/>
      <w:pPr>
        <w:tabs>
          <w:tab w:val="num" w:pos="357"/>
        </w:tabs>
        <w:ind w:left="357" w:hanging="357"/>
      </w:pPr>
      <w:rPr>
        <w:rFonts w:ascii="Symbol" w:hAnsi="Symbol" w:hint="default"/>
        <w:sz w:val="18"/>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1ED"/>
    <w:rsid w:val="00494B56"/>
    <w:rsid w:val="005015F8"/>
    <w:rsid w:val="00DE6781"/>
    <w:rsid w:val="00E167F4"/>
    <w:rsid w:val="00EF4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81"/>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EAEnBodyText">
    <w:name w:val="EMEA En Body Text"/>
    <w:basedOn w:val="Normal"/>
    <w:rsid w:val="00DE6781"/>
    <w:pPr>
      <w:tabs>
        <w:tab w:val="clear" w:pos="567"/>
      </w:tabs>
      <w:spacing w:before="120" w:after="120" w:line="240" w:lineRule="auto"/>
      <w:jc w:val="both"/>
    </w:pPr>
    <w:rPr>
      <w:lang w:val="en-US"/>
    </w:rPr>
  </w:style>
  <w:style w:type="paragraph" w:styleId="NormalIndent">
    <w:name w:val="Normal Indent"/>
    <w:basedOn w:val="Normal"/>
    <w:rsid w:val="00DE6781"/>
    <w:pPr>
      <w:tabs>
        <w:tab w:val="clear" w:pos="567"/>
      </w:tabs>
      <w:spacing w:after="120" w:line="240" w:lineRule="auto"/>
      <w:ind w:left="720"/>
    </w:pPr>
    <w:rPr>
      <w:lang w:eastAsia="en-GB"/>
    </w:rPr>
  </w:style>
  <w:style w:type="paragraph" w:customStyle="1" w:styleId="Text">
    <w:name w:val="Text"/>
    <w:basedOn w:val="Normal"/>
    <w:link w:val="TextChar"/>
    <w:rsid w:val="00DE6781"/>
    <w:pPr>
      <w:tabs>
        <w:tab w:val="clear" w:pos="567"/>
      </w:tabs>
      <w:spacing w:before="120" w:line="240" w:lineRule="auto"/>
      <w:jc w:val="both"/>
    </w:pPr>
    <w:rPr>
      <w:rFonts w:eastAsia="MS Mincho"/>
      <w:sz w:val="24"/>
      <w:lang w:val="en-US"/>
    </w:rPr>
  </w:style>
  <w:style w:type="character" w:customStyle="1" w:styleId="TextChar">
    <w:name w:val="Text Char"/>
    <w:link w:val="Text"/>
    <w:rsid w:val="00DE6781"/>
    <w:rPr>
      <w:rFonts w:ascii="Times New Roman" w:eastAsia="MS Mincho"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81"/>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EAEnBodyText">
    <w:name w:val="EMEA En Body Text"/>
    <w:basedOn w:val="Normal"/>
    <w:rsid w:val="00DE6781"/>
    <w:pPr>
      <w:tabs>
        <w:tab w:val="clear" w:pos="567"/>
      </w:tabs>
      <w:spacing w:before="120" w:after="120" w:line="240" w:lineRule="auto"/>
      <w:jc w:val="both"/>
    </w:pPr>
    <w:rPr>
      <w:lang w:val="en-US"/>
    </w:rPr>
  </w:style>
  <w:style w:type="paragraph" w:styleId="NormalIndent">
    <w:name w:val="Normal Indent"/>
    <w:basedOn w:val="Normal"/>
    <w:rsid w:val="00DE6781"/>
    <w:pPr>
      <w:tabs>
        <w:tab w:val="clear" w:pos="567"/>
      </w:tabs>
      <w:spacing w:after="120" w:line="240" w:lineRule="auto"/>
      <w:ind w:left="720"/>
    </w:pPr>
    <w:rPr>
      <w:lang w:eastAsia="en-GB"/>
    </w:rPr>
  </w:style>
  <w:style w:type="paragraph" w:customStyle="1" w:styleId="Text">
    <w:name w:val="Text"/>
    <w:basedOn w:val="Normal"/>
    <w:link w:val="TextChar"/>
    <w:rsid w:val="00DE6781"/>
    <w:pPr>
      <w:tabs>
        <w:tab w:val="clear" w:pos="567"/>
      </w:tabs>
      <w:spacing w:before="120" w:line="240" w:lineRule="auto"/>
      <w:jc w:val="both"/>
    </w:pPr>
    <w:rPr>
      <w:rFonts w:eastAsia="MS Mincho"/>
      <w:sz w:val="24"/>
      <w:lang w:val="en-US"/>
    </w:rPr>
  </w:style>
  <w:style w:type="character" w:customStyle="1" w:styleId="TextChar">
    <w:name w:val="Text Char"/>
    <w:link w:val="Text"/>
    <w:rsid w:val="00DE6781"/>
    <w:rPr>
      <w:rFonts w:ascii="Times New Roman" w:eastAsia="MS Mincho"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5985</Words>
  <Characters>34120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Novartis</Company>
  <LinksUpToDate>false</LinksUpToDate>
  <CharactersWithSpaces>40025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Jurkeviciute, Audrone</dc:creator>
  <cp:lastModifiedBy>Rasteniene, Vaiva</cp:lastModifiedBy>
  <cp:revision>2</cp:revision>
  <dcterms:created xsi:type="dcterms:W3CDTF">2013-03-05T08:18:00Z</dcterms:created>
  <dcterms:modified xsi:type="dcterms:W3CDTF">2013-03-05T08:18:00Z</dcterms:modified>
</cp:coreProperties>
</file>